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16.03.2026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финансов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 xml:space="preserve">Томской области от 25.12.2019 № 49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Внести в</w:t>
      </w:r>
      <w:r>
        <w:rPr>
          <w:rFonts w:ascii="PT Astra Serif" w:hAnsi="PT Astra Serif"/>
          <w:sz w:val="26"/>
          <w:szCs w:val="26"/>
        </w:rPr>
        <w:t xml:space="preserve"> Приложение № 1 «Перечень кодов видов источников внутреннего финансирования дефицита бюджета Томской области, главными администраторами которых являются органы государственной власти Томской области», утвержденное</w:t>
      </w:r>
      <w:r>
        <w:rPr>
          <w:rFonts w:ascii="PT Astra Serif" w:hAnsi="PT Astra Serif"/>
          <w:sz w:val="26"/>
          <w:szCs w:val="26"/>
        </w:rPr>
        <w:t xml:space="preserve"> приказ</w:t>
      </w:r>
      <w:r>
        <w:rPr>
          <w:rFonts w:ascii="PT Astra Serif" w:hAnsi="PT Astra Serif"/>
          <w:sz w:val="26"/>
          <w:szCs w:val="26"/>
        </w:rPr>
        <w:t>ом</w:t>
      </w:r>
      <w:r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25.12.2019 № 49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Об утверждении перечня кодов видов источников внутреннего финансирования дефицита бюджета Томской области, главными администраторами которых являются органы государственной власти Томской области, и перечня кодов видов источников внутреннего ф</w:t>
      </w:r>
      <w:r>
        <w:rPr>
          <w:rFonts w:ascii="PT Astra Serif" w:hAnsi="PT Astra Serif" w:cs="PT Astra Serif"/>
          <w:sz w:val="26"/>
          <w:szCs w:val="26"/>
        </w:rPr>
        <w:t>инансирования дефицита бюджета Т</w:t>
      </w:r>
      <w:r>
        <w:rPr>
          <w:rFonts w:ascii="PT Astra Serif" w:hAnsi="PT Astra Serif" w:cs="PT Astra Serif"/>
          <w:sz w:val="26"/>
          <w:szCs w:val="26"/>
        </w:rPr>
        <w:t>ерриториального фонда обязательного медицинского страхования Томской области» (Официальный интернет-портал правовой информации</w:t>
      </w:r>
      <w:r>
        <w:rPr>
          <w:rFonts w:ascii="PT Astra Serif" w:hAnsi="PT Astra Serif" w:cs="PT Astra Serif"/>
          <w:sz w:val="26"/>
          <w:szCs w:val="26"/>
          <w:u w:val="none"/>
        </w:rPr>
        <w:t xml:space="preserve"> </w:t>
      </w:r>
      <w:hyperlink r:id="rId4" w:tooltip="http://www.pravo.gov.ru," w:history="1">
        <w:r>
          <w:rPr>
            <w:rStyle w:val="Hyperlink"/>
            <w:rFonts w:ascii="PT Astra Serif" w:hAnsi="PT Astra Serif" w:cs="PT Astra Serif"/>
            <w:color w:val="000000" w:themeColor="text1"/>
            <w:sz w:val="26"/>
            <w:szCs w:val="26"/>
            <w:u w:val="none"/>
          </w:rPr>
          <w:t>http://www.pravo.gov.ru,</w:t>
        </w:r>
      </w:hyperlink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25.12.2019, </w:t>
      </w:r>
      <w:r>
        <w:rPr>
          <w:rFonts w:ascii="PT Astra Serif" w:hAnsi="PT Astra Serif" w:cs="PT Astra Serif"/>
          <w:sz w:val="26"/>
          <w:szCs w:val="26"/>
        </w:rPr>
        <w:t>№ 7001201912250007)</w:t>
      </w:r>
      <w:r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изменение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>дополнив после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строки</w:t>
      </w:r>
      <w:r>
        <w:rPr>
          <w:rFonts w:ascii="PT Astra Serif" w:hAnsi="PT Astra Serif" w:cs="PT Astra Serif"/>
          <w:sz w:val="26"/>
          <w:szCs w:val="26"/>
        </w:rPr>
        <w:t>:</w:t>
      </w:r>
    </w:p>
    <w:tbl>
      <w:tblPr>
        <w:tblStyle w:val="TableGrid"/>
        <w:tblW w:w="9638" w:type="dxa"/>
        <w:tblInd w:w="-1" w:type="dxa"/>
        <w:tblLayout w:type="fixed"/>
        <w:tblLook w:val="04A0"/>
      </w:tblPr>
      <w:tblGrid>
        <w:gridCol w:w="1527"/>
        <w:gridCol w:w="8111"/>
      </w:tblGrid>
      <w:tr>
        <w:tblPrEx>
          <w:tblW w:w="9638" w:type="dxa"/>
          <w:tblInd w:w="-1" w:type="dxa"/>
          <w:tblLayout w:type="fixed"/>
          <w:tblLook w:val="04A0"/>
        </w:tblPrEx>
        <w:tc>
          <w:tcPr>
            <w:tcW w:w="1527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«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0002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550</w:t>
            </w:r>
          </w:p>
        </w:tc>
        <w:tc>
          <w:tcPr>
            <w:tcW w:w="8111" w:type="dxa"/>
            <w:noWrap w:val="0"/>
            <w:textDirection w:val="lrTb"/>
          </w:tcPr>
          <w:p>
            <w:pPr>
              <w:pBdr>
                <w:top w:val="nil"/>
                <w:left w:val="nil"/>
                <w:bottom w:val="nil"/>
                <w:right w:val="nil"/>
              </w:pBdr>
              <w:jc w:val="both"/>
              <w:rPr>
                <w:rFonts w:ascii="PT Astra Serif" w:hAnsi="PT Astra Serif" w:cs="PT Astra Serif"/>
                <w:color w:val="auto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>Увеличение финансовых активов за счет привлечения на единый счет бюджета субъекта Российской Федерации остатков средств на казначейских счетах для осуществления и отражения операций с денежными средствами бюджетных и автономных учреждений, открытых финансо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>вому органу субъекта Российской Федерации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>»</w:t>
            </w:r>
          </w:p>
        </w:tc>
      </w:tr>
    </w:tbl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строкой</w:t>
      </w:r>
      <w:r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tbl>
      <w:tblPr>
        <w:tblStyle w:val="TableGrid"/>
        <w:tblW w:w="9637" w:type="dxa"/>
        <w:tblLayout w:type="fixed"/>
        <w:tblLook w:val="04A0"/>
      </w:tblPr>
      <w:tblGrid>
        <w:gridCol w:w="1526"/>
        <w:gridCol w:w="8111"/>
      </w:tblGrid>
      <w:tr>
        <w:tblPrEx>
          <w:tblW w:w="9637" w:type="dxa"/>
          <w:tblLayout w:type="fixed"/>
          <w:tblLook w:val="04A0"/>
        </w:tblPrEx>
        <w:tc>
          <w:tcPr>
            <w:tcW w:w="1526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>«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>0003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>550</w:t>
            </w:r>
          </w:p>
        </w:tc>
        <w:tc>
          <w:tcPr>
            <w:tcW w:w="8111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>У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>величение финансовых активов за счет привлечения на единый счет бюджета субъекта Российской Федерации остатков средств на единых счетах бюджетов государственных внебюджетных фондов, открытых органу управления территориальным государственным внебюджетным фондом</w:t>
            </w:r>
            <w:r>
              <w:rPr>
                <w:rFonts w:ascii="PT Astra Serif" w:hAnsi="PT Astra Serif" w:cs="PT Astra Serif"/>
                <w:color w:val="auto"/>
                <w:sz w:val="26"/>
                <w:szCs w:val="26"/>
              </w:rPr>
              <w:t>».</w:t>
            </w:r>
          </w:p>
        </w:tc>
      </w:tr>
    </w:tbl>
    <w:p>
      <w:pPr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rPr>
          <w:trHeight w:val="928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  <w:vAlign w:val="bottom"/>
          </w:tcPr>
          <w:p>
            <w:pPr>
              <w:tabs>
                <w:tab w:val="left" w:pos="7088"/>
              </w:tabs>
              <w:jc w:val="right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r>
              <w:rPr>
                <w:rFonts w:ascii="PT Astra Serif" w:hAnsi="PT Astra Serif"/>
                <w:sz w:val="26"/>
                <w:szCs w:val="26"/>
              </w:rPr>
              <w:t>Феденёв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>
      <w:headerReference w:type="default" r:id="rId5"/>
      <w:headerReference w:type="first" r:id="rId6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bCs w:val="0"/>
        <w:sz w:val="24"/>
        <w:szCs w:val="24"/>
      </w:rPr>
      <w:fldChar w:fldCharType="separate"/>
    </w:r>
    <w:r>
      <w:rPr>
        <w:rFonts w:ascii="PT Astra Serif" w:hAnsi="PT Astra Serif"/>
        <w:b w:val="0"/>
        <w:bCs w:val="0"/>
        <w:sz w:val="24"/>
        <w:szCs w:val="24"/>
      </w:rPr>
      <w:t>2</w:t>
    </w:r>
    <w:r>
      <w:rPr>
        <w:rFonts w:ascii="PT Astra Serif" w:hAnsi="PT Astra Serif"/>
        <w:b w:val="0"/>
        <w:bCs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финансов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pravo.gov.ru,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21</cp:revision>
  <dcterms:created xsi:type="dcterms:W3CDTF">2023-07-12T03:10:00Z</dcterms:created>
  <dcterms:modified xsi:type="dcterms:W3CDTF">2026-03-16T04:18:25Z</dcterms:modified>
</cp:coreProperties>
</file>