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>
        <w:tblPrEx>
          <w:tblW w:w="9639" w:type="dxa"/>
          <w:tblBorders>
            <w:bottom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04.03.2026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il"/>
            </w:tcBorders>
            <w:noWrap w:val="0"/>
            <w:tcMar>
              <w:top w:w="0" w:type="dxa"/>
              <w:left w:w="0" w:type="dxa"/>
              <w:bottom w:w="0" w:type="dxa"/>
              <w:right w:w="85" w:type="dxa"/>
            </w:tcMar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№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8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</w:t>
      </w:r>
      <w:r>
        <w:rPr>
          <w:rFonts w:ascii="PT Astra Serif" w:hAnsi="PT Astra Serif" w:cs="Times New Roman"/>
          <w:sz w:val="28"/>
          <w:szCs w:val="28"/>
          <w:highlight w:val="white"/>
        </w:rPr>
        <w:t>я</w:t>
      </w:r>
      <w:r>
        <w:rPr>
          <w:rFonts w:ascii="PT Astra Serif" w:hAnsi="PT Astra Serif" w:cs="Times New Roman"/>
          <w:sz w:val="28"/>
          <w:szCs w:val="28"/>
        </w:rPr>
        <w:t xml:space="preserve"> в приказ Департамента финансов Томской области</w:t>
      </w:r>
    </w:p>
    <w:p>
      <w:pPr>
        <w:pStyle w:val="ConsPlusNormal"/>
        <w:ind w:right="57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 xml:space="preserve">от </w:t>
      </w:r>
      <w:r>
        <w:rPr>
          <w:rFonts w:ascii="PT Astra Serif" w:hAnsi="PT Astra Serif" w:cs="Times New Roman"/>
          <w:sz w:val="28"/>
          <w:szCs w:val="28"/>
        </w:rPr>
        <w:t>2</w:t>
      </w:r>
      <w:r>
        <w:rPr>
          <w:rFonts w:ascii="PT Astra Serif" w:hAnsi="PT Astra Serif" w:cs="Times New Roman"/>
          <w:sz w:val="28"/>
          <w:szCs w:val="28"/>
        </w:rPr>
        <w:t>7</w:t>
      </w:r>
      <w:r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</w:rPr>
        <w:t>12</w:t>
      </w:r>
      <w:r>
        <w:rPr>
          <w:rFonts w:ascii="PT Astra Serif" w:hAnsi="PT Astra Serif" w:cs="Times New Roman"/>
          <w:sz w:val="28"/>
          <w:szCs w:val="28"/>
        </w:rPr>
        <w:t>.20</w:t>
      </w:r>
      <w:r>
        <w:rPr>
          <w:rFonts w:ascii="PT Astra Serif" w:hAnsi="PT Astra Serif" w:cs="Times New Roman"/>
          <w:sz w:val="28"/>
          <w:szCs w:val="28"/>
        </w:rPr>
        <w:t>21</w:t>
      </w:r>
      <w:r>
        <w:rPr>
          <w:rFonts w:ascii="PT Astra Serif" w:hAnsi="PT Astra Serif" w:cs="Times New Roman"/>
          <w:sz w:val="28"/>
          <w:szCs w:val="28"/>
        </w:rPr>
        <w:t xml:space="preserve"> № </w:t>
      </w:r>
      <w:r>
        <w:rPr>
          <w:rFonts w:ascii="PT Astra Serif" w:hAnsi="PT Astra Serif" w:cs="Times New Roman"/>
          <w:sz w:val="28"/>
          <w:szCs w:val="28"/>
        </w:rPr>
        <w:t>59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>
      <w:pP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ПРИКАЗЫВАЮ:</w:t>
      </w:r>
    </w:p>
    <w:p>
      <w:pPr>
        <w:spacing w:line="288" w:lineRule="atLeast"/>
        <w:ind w:firstLine="709"/>
        <w:jc w:val="both"/>
        <w:rPr>
          <w:rFonts w:ascii="PT Astra Serif" w:hAnsi="PT Astra Serif"/>
          <w:sz w:val="28"/>
          <w:szCs w:val="28"/>
          <w:highlight w:val="white"/>
        </w:rPr>
      </w:pPr>
      <w:r>
        <w:rPr>
          <w:rFonts w:ascii="PT Astra Serif" w:hAnsi="PT Astra Serif"/>
          <w:sz w:val="28"/>
          <w:szCs w:val="28"/>
          <w:highlight w:val="white"/>
        </w:rPr>
        <w:t xml:space="preserve">1. </w:t>
      </w:r>
      <w:r>
        <w:rPr>
          <w:rFonts w:ascii="PT Astra Serif" w:hAnsi="PT Astra Serif"/>
          <w:sz w:val="28"/>
          <w:szCs w:val="28"/>
          <w:highlight w:val="white"/>
        </w:rPr>
        <w:t xml:space="preserve">Внести в </w:t>
      </w:r>
      <w:r>
        <w:rPr>
          <w:rFonts w:ascii="PT Astra Serif" w:hAnsi="PT Astra Serif"/>
          <w:sz w:val="28"/>
          <w:szCs w:val="28"/>
          <w:highlight w:val="white"/>
        </w:rPr>
        <w:t xml:space="preserve">приказ Департамента финансов Томской области </w:t>
      </w:r>
      <w:r>
        <w:rPr>
          <w:rFonts w:ascii="PT Astra Serif" w:hAnsi="PT Astra Serif"/>
          <w:sz w:val="28"/>
          <w:szCs w:val="28"/>
          <w:highlight w:val="white"/>
        </w:rPr>
        <w:t>№</w:t>
      </w:r>
      <w:r>
        <w:rPr>
          <w:rFonts w:ascii="PT Astra Serif" w:hAnsi="PT Astra Serif"/>
          <w:sz w:val="28"/>
          <w:szCs w:val="28"/>
          <w:highlight w:val="white"/>
        </w:rPr>
        <w:t xml:space="preserve"> 59 от 27.12.2021 «Об утверждении </w:t>
      </w:r>
      <w:r>
        <w:rPr>
          <w:rFonts w:ascii="PT Astra Serif" w:hAnsi="PT Astra Serif"/>
          <w:sz w:val="28"/>
          <w:szCs w:val="28"/>
          <w:highlight w:val="white"/>
        </w:rPr>
        <w:t>Положени</w:t>
      </w:r>
      <w:r>
        <w:rPr>
          <w:rFonts w:ascii="PT Astra Serif" w:hAnsi="PT Astra Serif"/>
          <w:sz w:val="28"/>
          <w:szCs w:val="28"/>
          <w:highlight w:val="white"/>
        </w:rPr>
        <w:t>я</w:t>
      </w:r>
      <w:r>
        <w:rPr>
          <w:rFonts w:ascii="PT Astra Serif" w:hAnsi="PT Astra Serif"/>
          <w:sz w:val="28"/>
          <w:szCs w:val="28"/>
          <w:highlight w:val="white"/>
        </w:rPr>
        <w:t xml:space="preserve"> о порядке открытия и ведения лицевых счетов в Департаменте финансов Томской области»</w:t>
      </w:r>
      <w:r>
        <w:rPr>
          <w:rFonts w:ascii="PT Astra Serif" w:hAnsi="PT Astra Serif"/>
          <w:sz w:val="28"/>
          <w:szCs w:val="28"/>
          <w:highlight w:val="white"/>
        </w:rPr>
        <w:t xml:space="preserve"> (Официальный интернет-портал правовой информации </w:t>
      </w:r>
      <w:r>
        <w:rPr>
          <w:rFonts w:ascii="PT Astra Serif" w:hAnsi="PT Astra Serif"/>
          <w:color w:val="000000" w:themeColor="text1"/>
          <w:sz w:val="28"/>
          <w:szCs w:val="28"/>
          <w:highlight w:val="white"/>
        </w:rPr>
        <w:t xml:space="preserve">http://pravo.gov.ru, 27.12.2021, </w:t>
      </w:r>
      <w:r>
        <w:rPr>
          <w:rFonts w:ascii="PT Astra Serif" w:hAnsi="PT Astra Serif"/>
          <w:color w:val="000000" w:themeColor="text1"/>
          <w:sz w:val="28"/>
          <w:szCs w:val="28"/>
          <w:highlight w:val="white"/>
        </w:rPr>
        <w:t>№</w:t>
      </w:r>
      <w:r>
        <w:rPr>
          <w:rFonts w:ascii="PT Astra Serif" w:hAnsi="PT Astra Serif"/>
          <w:color w:val="000000" w:themeColor="text1"/>
          <w:sz w:val="28"/>
          <w:szCs w:val="28"/>
          <w:highlight w:val="white"/>
        </w:rPr>
        <w:t xml:space="preserve"> 7001202112270002) изменени</w:t>
      </w:r>
      <w:r>
        <w:rPr>
          <w:rFonts w:ascii="PT Astra Serif" w:hAnsi="PT Astra Serif"/>
          <w:color w:val="000000" w:themeColor="text1"/>
          <w:sz w:val="28"/>
          <w:szCs w:val="28"/>
          <w:highlight w:val="white"/>
        </w:rPr>
        <w:t xml:space="preserve">е, заменив в </w:t>
      </w:r>
      <w:r>
        <w:rPr>
          <w:rFonts w:ascii="PT Astra Serif" w:hAnsi="PT Astra Serif"/>
          <w:color w:val="000000" w:themeColor="text1"/>
          <w:sz w:val="28"/>
          <w:szCs w:val="28"/>
          <w:highlight w:val="white"/>
        </w:rPr>
        <w:t xml:space="preserve">абзаце </w:t>
      </w:r>
      <w:bookmarkStart w:id="0" w:name="_GoBack"/>
      <w:bookmarkEnd w:id="0"/>
      <w:r>
        <w:rPr>
          <w:rFonts w:ascii="PT Astra Serif" w:hAnsi="PT Astra Serif"/>
          <w:color w:val="000000" w:themeColor="text1"/>
          <w:sz w:val="28"/>
          <w:szCs w:val="28"/>
          <w:highlight w:val="white"/>
        </w:rPr>
        <w:t xml:space="preserve">четвёртом </w:t>
      </w:r>
      <w:r>
        <w:rPr>
          <w:rFonts w:ascii="PT Astra Serif" w:hAnsi="PT Astra Serif"/>
          <w:color w:val="000000" w:themeColor="text1"/>
          <w:sz w:val="28"/>
          <w:szCs w:val="28"/>
          <w:highlight w:val="white"/>
        </w:rPr>
        <w:t xml:space="preserve">пункта </w:t>
      </w:r>
      <w:r>
        <w:rPr>
          <w:rFonts w:ascii="PT Astra Serif" w:hAnsi="PT Astra Serif"/>
          <w:sz w:val="28"/>
          <w:szCs w:val="28"/>
          <w:highlight w:val="white"/>
        </w:rPr>
        <w:t xml:space="preserve">44 </w:t>
      </w:r>
      <w:r>
        <w:rPr>
          <w:rFonts w:ascii="PT Astra Serif" w:hAnsi="PT Astra Serif"/>
          <w:sz w:val="28"/>
          <w:szCs w:val="28"/>
          <w:highlight w:val="white"/>
        </w:rPr>
        <w:t>Положени</w:t>
      </w:r>
      <w:r>
        <w:rPr>
          <w:rFonts w:ascii="PT Astra Serif" w:hAnsi="PT Astra Serif"/>
          <w:sz w:val="28"/>
          <w:szCs w:val="28"/>
          <w:highlight w:val="white"/>
        </w:rPr>
        <w:t>я</w:t>
      </w:r>
      <w:r>
        <w:rPr>
          <w:rFonts w:ascii="PT Astra Serif" w:hAnsi="PT Astra Serif"/>
          <w:sz w:val="28"/>
          <w:szCs w:val="28"/>
          <w:highlight w:val="white"/>
        </w:rPr>
        <w:t xml:space="preserve"> о порядке открытия и ведения лицевых счетов в Департаменте финансов Томской области, утвержденного указанным приказом,</w:t>
      </w:r>
      <w:r>
        <w:rPr>
          <w:rFonts w:ascii="PT Astra Serif" w:hAnsi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/>
          <w:sz w:val="28"/>
          <w:szCs w:val="28"/>
          <w:highlight w:val="white"/>
        </w:rPr>
        <w:t xml:space="preserve">слово </w:t>
      </w:r>
      <w:r>
        <w:rPr>
          <w:rFonts w:ascii="PT Astra Serif" w:hAnsi="PT Astra Serif"/>
          <w:sz w:val="28"/>
          <w:szCs w:val="28"/>
          <w:highlight w:val="white"/>
        </w:rPr>
        <w:t>«</w:t>
      </w:r>
      <w:r>
        <w:rPr>
          <w:rFonts w:ascii="PT Astra Serif" w:hAnsi="PT Astra Serif"/>
          <w:sz w:val="28"/>
          <w:szCs w:val="28"/>
          <w:highlight w:val="white"/>
        </w:rPr>
        <w:t>второго</w:t>
      </w:r>
      <w:r>
        <w:rPr>
          <w:rFonts w:ascii="PT Astra Serif" w:hAnsi="PT Astra Serif"/>
          <w:sz w:val="28"/>
          <w:szCs w:val="28"/>
          <w:highlight w:val="white"/>
        </w:rPr>
        <w:t>»</w:t>
      </w:r>
      <w:r>
        <w:rPr>
          <w:rFonts w:ascii="PT Astra Serif" w:hAnsi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/>
          <w:sz w:val="28"/>
          <w:szCs w:val="28"/>
          <w:highlight w:val="white"/>
        </w:rPr>
        <w:t>с</w:t>
      </w:r>
      <w:r>
        <w:rPr>
          <w:rFonts w:ascii="PT Astra Serif" w:hAnsi="PT Astra Serif"/>
          <w:sz w:val="28"/>
          <w:szCs w:val="28"/>
          <w:highlight w:val="white"/>
        </w:rPr>
        <w:t xml:space="preserve">ловом </w:t>
      </w:r>
      <w:r>
        <w:rPr>
          <w:rFonts w:ascii="PT Astra Serif" w:hAnsi="PT Astra Serif"/>
          <w:sz w:val="28"/>
          <w:szCs w:val="28"/>
          <w:highlight w:val="white"/>
        </w:rPr>
        <w:t>«</w:t>
      </w:r>
      <w:r>
        <w:rPr>
          <w:rFonts w:ascii="PT Astra Serif" w:hAnsi="PT Astra Serif"/>
          <w:sz w:val="28"/>
          <w:szCs w:val="28"/>
          <w:highlight w:val="white"/>
        </w:rPr>
        <w:t>третьего</w:t>
      </w:r>
      <w:r>
        <w:rPr>
          <w:rFonts w:ascii="PT Astra Serif" w:hAnsi="PT Astra Serif"/>
          <w:sz w:val="28"/>
          <w:szCs w:val="28"/>
          <w:highlight w:val="white"/>
        </w:rPr>
        <w:t>»</w:t>
      </w:r>
      <w:r>
        <w:rPr>
          <w:rFonts w:ascii="PT Astra Serif" w:hAnsi="PT Astra Serif"/>
          <w:sz w:val="28"/>
          <w:szCs w:val="28"/>
          <w:highlight w:val="white"/>
        </w:rPr>
        <w:t>.</w:t>
      </w:r>
    </w:p>
    <w:p>
      <w:pPr>
        <w:pStyle w:val="ListParagraph"/>
        <w:tabs>
          <w:tab w:val="left" w:pos="-2127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/>
      </w:tblPr>
      <w:tblGrid>
        <w:gridCol w:w="3543"/>
        <w:gridCol w:w="3118"/>
        <w:gridCol w:w="3228"/>
      </w:tblGrid>
      <w:tr>
        <w:tblPrEx>
          <w:tblW w:w="9889" w:type="dxa"/>
          <w:tblLayout w:type="fixed"/>
          <w:tblLook w:val="04A0"/>
        </w:tblPrEx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both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Заместитель Губернатора Томской области -</w:t>
            </w:r>
          </w:p>
          <w:p>
            <w:pPr>
              <w:tabs>
                <w:tab w:val="left" w:pos="7088"/>
              </w:tabs>
              <w:jc w:val="both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 Департамента финансов Томской области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shd w:val="clear" w:color="FFFFFF" w:fill="FFFFFF" w:themeColor="background1" w:themeFill="background1"/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1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  <w:vAlign w:val="bottom"/>
          </w:tcPr>
          <w:p>
            <w:pPr>
              <w:tabs>
                <w:tab w:val="left" w:pos="7088"/>
              </w:tabs>
              <w:jc w:val="right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А.М. </w:t>
            </w:r>
            <w:r>
              <w:rPr>
                <w:rFonts w:ascii="PT Astra Serif" w:hAnsi="PT Astra Serif"/>
                <w:sz w:val="28"/>
                <w:szCs w:val="28"/>
              </w:rPr>
              <w:t>Феденёв</w:t>
            </w:r>
          </w:p>
        </w:tc>
      </w:tr>
    </w:tbl>
    <w:p>
      <w:pPr>
        <w:rPr>
          <w:rFonts w:ascii="PT Astra Serif" w:hAnsi="PT Astra Serif" w:cs="PT Astra Serif"/>
          <w:sz w:val="14"/>
          <w:szCs w:val="14"/>
        </w:rPr>
      </w:pPr>
    </w:p>
    <w:sectPr>
      <w:headerReference w:type="default" r:id="rId4"/>
      <w:headerReference w:type="first" r:id="rId5"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 Томской области</w:t>
    </w:r>
  </w:p>
  <w:p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446E8E2D"/>
    <w:multiLevelType w:val="hybridMultilevel"/>
    <w:tmpl w:val="000000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band1Horz">
      <w:tblPr/>
      <w:tcPr>
        <w:shd w:val="clear" w:color="F2F2F2" w:fill="auto" w:themeColor="text1" w:themeTint="0D"/>
      </w:tcPr>
    </w:tblStylePr>
    <w:tblStylePr w:type="band1Vert">
      <w:tblPr/>
      <w:tcPr>
        <w:shd w:val="clear" w:color="F2F2F2" w:fill="auto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customStyle="1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band1Horz">
      <w:tblPr/>
      <w:tcPr>
        <w:shd w:val="clear" w:color="8A8A8A" w:fill="auto" w:themeColor="text1" w:themeTint="75"/>
      </w:tcPr>
    </w:tblStylePr>
    <w:tblStylePr w:type="band1Vert">
      <w:tblPr/>
      <w:tcPr>
        <w:shd w:val="clear" w:color="8A8A8A" w:fill="auto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1Vert"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rPr>
        <w:b/>
        <w:color w:val="7F7F7F" w:themeColor="text1" w:themeShade="95" w:themeTint="80"/>
      </w:rPr>
    </w:tblStyle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b/>
        <w:color w:val="7F7F7F" w:themeColor="text1" w:themeShade="95" w:themeTint="80"/>
      </w:rPr>
    </w:tblStylePr>
    <w:tblStylePr w:type="lastRow">
      <w:rPr>
        <w:b/>
        <w:color w:val="7F7F7F" w:themeColor="text1" w:themeShade="95" w:themeTint="80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1Vert"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</w:tblPr>
    <w:tblStylePr w:type="band1Horz"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table" w:customStyle="1" w:styleId="10">
    <w:name w:val="Сетка таблицы1"/>
    <w:basedOn w:val="TableNormal"/>
    <w:next w:val="TableGrid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10</cp:revision>
  <dcterms:created xsi:type="dcterms:W3CDTF">2026-01-28T03:28:00Z</dcterms:created>
  <dcterms:modified xsi:type="dcterms:W3CDTF">2026-03-03T06:29:29Z</dcterms:modified>
</cp:coreProperties>
</file>