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tbl>
      <w:tblPr>
        <w:tblW w:w="9638" w:type="dxa"/>
        <w:tblBorders>
          <w:bottom w:val="single" w:sz="4" w:space="0" w:color="auto"/>
        </w:tblBorders>
        <w:tblLayout w:type="fixed"/>
        <w:tblCellMar>
          <w:left w:w="0" w:type="dxa"/>
          <w:right w:w="0" w:type="dxa"/>
        </w:tblCellMar>
        <w:tblLook w:val="04A0"/>
      </w:tblPr>
      <w:tblGrid>
        <w:gridCol w:w="1701"/>
        <w:gridCol w:w="5669"/>
        <w:gridCol w:w="2268"/>
      </w:tblGrid>
      <w:tr>
        <w:tblPrEx>
          <w:tblW w:w="9638" w:type="dxa"/>
          <w:tblBorders>
            <w:bottom w:val="single" w:sz="4" w:space="0" w:color="auto"/>
          </w:tblBorders>
          <w:tblLayout w:type="fixed"/>
          <w:tblCellMar>
            <w:left w:w="0" w:type="dxa"/>
            <w:right w:w="0" w:type="dxa"/>
          </w:tblCellMar>
          <w:tblLook w:val="04A0"/>
        </w:tblPrEx>
        <w:tc>
          <w:tcPr>
            <w:tcW w:w="1701" w:type="dxa"/>
            <w:tcBorders>
              <w:bottom w:val="nil"/>
            </w:tcBorders>
            <w:noWrap w:val="0"/>
            <w:textDirection w:val="lrTb"/>
          </w:tcPr>
          <w:p>
            <w:pPr>
              <w:pStyle w:val="BodyText2"/>
              <w:pBdr>
                <w:top w:val="nil"/>
                <w:left w:val="nil"/>
                <w:bottom w:val="nil"/>
                <w:right w:val="nil"/>
                <w:between w:val="nil"/>
              </w:pBdr>
              <w:spacing w:before="480"/>
              <w:ind w:right="0"/>
              <w:jc w:val="left"/>
              <w:rPr>
                <w:rFonts w:ascii="PT Astra Serif" w:eastAsia="PT Astra Serif" w:hAnsi="PT Astra Serif" w:cs="PT Astra Serif"/>
                <w:sz w:val="28"/>
                <w:szCs w:val="28"/>
              </w:rPr>
            </w:pPr>
            <w:bookmarkStart w:id="0" w:name="РегДанные"/>
            <w:r>
              <w:rPr>
                <w:rFonts w:ascii="PT Astra Serif" w:eastAsia="PT Astra Serif" w:hAnsi="PT Astra Serif" w:cs="PT Astra Serif"/>
                <w:spacing w:val="20"/>
                <w:sz w:val="28"/>
                <w:szCs w:val="28"/>
              </w:rPr>
              <w:t>17.02.2026</w:t>
            </w: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fldChar w:fldCharType="end"/>
            </w:r>
            <w:bookmarkEnd w:id="0"/>
          </w:p>
        </w:tc>
        <w:tc>
          <w:tcPr>
            <w:tcW w:w="5669" w:type="dxa"/>
            <w:tcBorders>
              <w:bottom w:val="nil"/>
            </w:tcBorders>
            <w:noWrap w:val="0"/>
            <w:tcMar>
              <w:right w:w="85" w:type="dxa"/>
            </w:tcMar>
            <w:textDirection w:val="lrTb"/>
          </w:tcPr>
          <w:p>
            <w:pPr>
              <w:pStyle w:val="BodyText2"/>
              <w:pBdr>
                <w:top w:val="nil"/>
                <w:left w:val="nil"/>
                <w:bottom w:val="nil"/>
                <w:right w:val="nil"/>
                <w:between w:val="nil"/>
              </w:pBdr>
              <w:spacing w:before="480"/>
              <w:ind w:right="0"/>
              <w:jc w:val="right"/>
              <w:rPr>
                <w:rFonts w:ascii="PT Astra Serif" w:eastAsia="PT Astra Serif" w:hAnsi="PT Astra Serif" w:cs="PT Astra Serif"/>
                <w:sz w:val="28"/>
                <w:szCs w:val="28"/>
              </w:rPr>
            </w:pPr>
          </w:p>
        </w:tc>
        <w:tc>
          <w:tcPr>
            <w:tcW w:w="2268" w:type="dxa"/>
            <w:tcBorders>
              <w:bottom w:val="nil"/>
            </w:tcBorders>
            <w:noWrap w:val="0"/>
            <w:textDirection w:val="lrTb"/>
          </w:tcPr>
          <w:p>
            <w:pPr>
              <w:pStyle w:val="BodyText2"/>
              <w:pBdr>
                <w:top w:val="nil"/>
                <w:left w:val="nil"/>
                <w:bottom w:val="nil"/>
                <w:right w:val="nil"/>
                <w:between w:val="nil"/>
              </w:pBdr>
              <w:spacing w:before="480"/>
              <w:ind w:right="0"/>
              <w:jc w:val="right"/>
              <w:rPr>
                <w:rFonts w:ascii="PT Astra Serif" w:eastAsia="PT Astra Serif" w:hAnsi="PT Astra Serif" w:cs="PT Astra Serif"/>
                <w:sz w:val="28"/>
                <w:szCs w:val="28"/>
                <w:lang w:val="en-US"/>
              </w:rPr>
            </w:pPr>
            <w:bookmarkStart w:id="1" w:name="РегНомер"/>
            <w:r>
              <w:rPr>
                <w:rFonts w:ascii="PT Astra Serif" w:eastAsia="PT Astra Serif" w:hAnsi="PT Astra Serif" w:cs="PT Astra Serif"/>
                <w:sz w:val="28"/>
                <w:szCs w:val="28"/>
              </w:rPr>
              <w:t>№</w:t>
            </w:r>
            <w:r>
              <w:rPr>
                <w:rFonts w:ascii="PT Astra Serif" w:eastAsia="PT Astra Serif" w:hAnsi="PT Astra Serif" w:cs="PT Astra Serif"/>
                <w:sz w:val="28"/>
                <w:szCs w:val="28"/>
                <w:lang w:val="en-US"/>
              </w:rPr>
              <w:t xml:space="preserve"> </w:t>
            </w:r>
            <w:r>
              <w:rPr>
                <w:rFonts w:ascii="PT Astra Serif" w:eastAsia="PT Astra Serif" w:hAnsi="PT Astra Serif" w:cs="PT Astra Serif"/>
                <w:spacing w:val="20"/>
                <w:sz w:val="28"/>
                <w:szCs w:val="28"/>
              </w:rPr>
              <w:t>7</w:t>
            </w: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fldChar w:fldCharType="end"/>
            </w:r>
            <w:bookmarkEnd w:id="1"/>
          </w:p>
        </w:tc>
      </w:tr>
    </w:tbl>
    <w:p>
      <w:pPr>
        <w:pStyle w:val="ConsPlusNormal"/>
        <w:spacing w:before="480"/>
        <w:jc w:val="center"/>
        <w:rPr>
          <w:rFonts w:ascii="PT Astra Serif" w:hAnsi="PT Astra Serif" w:cs="Times New Roman"/>
          <w:sz w:val="28"/>
          <w:szCs w:val="28"/>
        </w:rPr>
      </w:pPr>
      <w:r>
        <w:rPr>
          <w:rFonts w:ascii="PT Astra Serif" w:hAnsi="PT Astra Serif" w:cs="Times New Roman"/>
          <w:sz w:val="28"/>
          <w:szCs w:val="28"/>
        </w:rPr>
        <w:t>Об утверждении условий эмиссии и обращения облигаций</w:t>
      </w:r>
    </w:p>
    <w:p>
      <w:pPr>
        <w:pStyle w:val="ConsPlusNormal"/>
        <w:jc w:val="center"/>
        <w:rPr>
          <w:rFonts w:ascii="PT Astra Serif" w:hAnsi="PT Astra Serif" w:cs="Times New Roman"/>
          <w:sz w:val="28"/>
          <w:szCs w:val="28"/>
        </w:rPr>
      </w:pPr>
      <w:r>
        <w:rPr>
          <w:rFonts w:ascii="PT Astra Serif" w:hAnsi="PT Astra Serif" w:cs="Times New Roman"/>
          <w:sz w:val="28"/>
          <w:szCs w:val="28"/>
        </w:rPr>
        <w:t>биржевого внутреннего займа Томской области 2026 года</w:t>
      </w:r>
    </w:p>
    <w:p>
      <w:pPr>
        <w:pStyle w:val="ConsPlusNormal"/>
        <w:jc w:val="center"/>
        <w:rPr>
          <w:rFonts w:ascii="PT Astra Serif" w:hAnsi="PT Astra Serif" w:cs="Times New Roman"/>
          <w:sz w:val="28"/>
          <w:szCs w:val="28"/>
        </w:rPr>
      </w:pPr>
      <w:r>
        <w:rPr>
          <w:rFonts w:ascii="PT Astra Serif" w:hAnsi="PT Astra Serif" w:cs="Times New Roman"/>
          <w:sz w:val="28"/>
          <w:szCs w:val="28"/>
        </w:rPr>
        <w:t>с фиксированным купонным доходом и амортизацией долга</w:t>
      </w:r>
    </w:p>
    <w:p>
      <w:pPr>
        <w:pStyle w:val="ConsPlusNormal"/>
        <w:ind w:firstLine="540"/>
        <w:jc w:val="both"/>
        <w:rPr>
          <w:rFonts w:ascii="PT Astra Serif" w:hAnsi="PT Astra Serif" w:cs="Times New Roman"/>
          <w:sz w:val="28"/>
          <w:szCs w:val="28"/>
        </w:rPr>
      </w:pPr>
    </w:p>
    <w:p>
      <w:pPr>
        <w:pStyle w:val="ConsPlusNormal"/>
        <w:ind w:firstLine="540"/>
        <w:jc w:val="both"/>
        <w:rPr>
          <w:rFonts w:ascii="PT Astra Serif" w:hAnsi="PT Astra Serif" w:cs="Times New Roman"/>
          <w:sz w:val="28"/>
          <w:szCs w:val="28"/>
        </w:rPr>
      </w:pPr>
    </w:p>
    <w:p>
      <w:pPr>
        <w:ind w:firstLine="708"/>
        <w:jc w:val="both"/>
        <w:rPr>
          <w:rFonts w:ascii="PT Astra Serif" w:hAnsi="PT Astra Serif"/>
          <w:sz w:val="26"/>
          <w:szCs w:val="26"/>
        </w:rPr>
      </w:pPr>
      <w:r>
        <w:rPr>
          <w:rFonts w:ascii="PT Astra Serif" w:hAnsi="PT Astra Serif"/>
          <w:sz w:val="28"/>
          <w:szCs w:val="28"/>
        </w:rPr>
        <w:t>В соответствии со статьей</w:t>
      </w:r>
      <w:r>
        <w:rPr>
          <w:rFonts w:ascii="PT Astra Serif" w:hAnsi="PT Astra Serif"/>
          <w:sz w:val="28"/>
          <w:szCs w:val="28"/>
          <w:vertAlign w:val="superscript"/>
        </w:rPr>
        <w:t xml:space="preserve"> </w:t>
      </w:r>
      <w:r>
        <w:rPr>
          <w:rFonts w:ascii="PT Astra Serif" w:hAnsi="PT Astra Serif"/>
          <w:sz w:val="28"/>
          <w:szCs w:val="28"/>
        </w:rPr>
        <w:t>121</w:t>
      </w:r>
      <w:r>
        <w:rPr>
          <w:rFonts w:ascii="PT Astra Serif" w:hAnsi="PT Astra Serif"/>
          <w:sz w:val="28"/>
          <w:szCs w:val="28"/>
          <w:vertAlign w:val="superscript"/>
        </w:rPr>
        <w:t>6</w:t>
      </w:r>
      <w:r>
        <w:rPr>
          <w:rFonts w:ascii="PT Astra Serif" w:hAnsi="PT Astra Serif"/>
          <w:sz w:val="28"/>
          <w:szCs w:val="28"/>
        </w:rPr>
        <w:t xml:space="preserve"> Бюджетного кодекса Российской Федерации, Генеральными </w:t>
      </w:r>
      <w:hyperlink r:id="rId4" w:tooltip="consultantplus://offline/ref=D523E86BA2935134C04978F4A5A7A36278CB6038695CAE4F6FAE2C82C3978C9DE5BB2B67819AD8DD788CB1A1gFF" w:history="1">
        <w:r>
          <w:rPr>
            <w:rFonts w:ascii="PT Astra Serif" w:hAnsi="PT Astra Serif"/>
            <w:sz w:val="28"/>
            <w:szCs w:val="28"/>
          </w:rPr>
          <w:t>условиями</w:t>
        </w:r>
      </w:hyperlink>
      <w:r>
        <w:rPr>
          <w:rFonts w:ascii="PT Astra Serif" w:hAnsi="PT Astra Serif"/>
          <w:sz w:val="28"/>
          <w:szCs w:val="28"/>
        </w:rPr>
        <w:t xml:space="preserve"> эмиссии и обращения облигаций биржевого внутреннего займа Томской области, утвержденными постановлением Администрации Томской области от 26.04.2012 № 161а «О выпуске облигаций биржевого внутреннего займа»,</w:t>
      </w:r>
    </w:p>
    <w:p>
      <w:pPr>
        <w:pStyle w:val="ConsPlusNormal"/>
        <w:ind w:right="-141" w:firstLine="709"/>
        <w:jc w:val="both"/>
        <w:rPr>
          <w:rFonts w:ascii="PT Astra Serif" w:hAnsi="PT Astra Serif"/>
          <w:sz w:val="26"/>
          <w:szCs w:val="26"/>
        </w:rPr>
      </w:pPr>
      <w:r>
        <w:rPr>
          <w:rFonts w:ascii="PT Astra Serif" w:hAnsi="PT Astra Serif"/>
          <w:sz w:val="28"/>
          <w:szCs w:val="28"/>
        </w:rPr>
        <w:t>ПРИКАЗЫВАЮ:</w:t>
      </w:r>
    </w:p>
    <w:p>
      <w:pPr>
        <w:pStyle w:val="ConsPlusNormal"/>
        <w:ind w:firstLine="709"/>
        <w:jc w:val="both"/>
        <w:rPr>
          <w:rFonts w:ascii="PT Astra Serif" w:hAnsi="PT Astra Serif"/>
          <w:sz w:val="26"/>
          <w:szCs w:val="26"/>
        </w:rPr>
      </w:pPr>
      <w:r>
        <w:rPr>
          <w:rFonts w:ascii="PT Astra Serif" w:hAnsi="PT Astra Serif"/>
          <w:sz w:val="28"/>
          <w:szCs w:val="28"/>
        </w:rPr>
        <w:t xml:space="preserve">1. Утвердить прилагаемые </w:t>
      </w:r>
      <w:hyperlink w:anchor="P31" w:tooltip="#P31" w:history="1">
        <w:r>
          <w:rPr>
            <w:rFonts w:ascii="PT Astra Serif" w:hAnsi="PT Astra Serif"/>
            <w:sz w:val="28"/>
            <w:szCs w:val="28"/>
          </w:rPr>
          <w:t>условия</w:t>
        </w:r>
      </w:hyperlink>
      <w:r>
        <w:rPr>
          <w:rFonts w:ascii="PT Astra Serif" w:hAnsi="PT Astra Serif"/>
          <w:sz w:val="28"/>
          <w:szCs w:val="28"/>
        </w:rPr>
        <w:t xml:space="preserve"> эмиссии и обращения облигаций биржевого внутреннего займа Томской области 2026 года с фиксированным купонным доходом и амортизацией долга.</w:t>
      </w:r>
    </w:p>
    <w:p>
      <w:pPr>
        <w:pStyle w:val="ConsPlusNormal"/>
        <w:ind w:firstLine="709"/>
        <w:jc w:val="both"/>
        <w:rPr>
          <w:rFonts w:ascii="PT Astra Serif" w:hAnsi="PT Astra Serif"/>
          <w:sz w:val="26"/>
          <w:szCs w:val="26"/>
        </w:rPr>
      </w:pPr>
      <w:r>
        <w:rPr>
          <w:rFonts w:ascii="PT Astra Serif" w:hAnsi="PT Astra Serif"/>
          <w:sz w:val="28"/>
          <w:szCs w:val="28"/>
        </w:rPr>
        <w:t>2. Настоящий приказ вступает в силу со дня его официального опубликования.</w:t>
      </w:r>
    </w:p>
    <w:p>
      <w:pPr>
        <w:ind w:firstLine="709"/>
        <w:jc w:val="both"/>
        <w:rPr>
          <w:rFonts w:ascii="PT Astra Serif" w:hAnsi="PT Astra Serif"/>
          <w:sz w:val="28"/>
          <w:szCs w:val="28"/>
        </w:rPr>
      </w:pPr>
      <w:r>
        <w:rPr>
          <w:rFonts w:ascii="PT Astra Serif" w:hAnsi="PT Astra Serif"/>
          <w:sz w:val="28"/>
          <w:szCs w:val="28"/>
        </w:rPr>
        <w:t xml:space="preserve">3. Контроль за исполнением настоящего приказа возложить на заместителя начальника Департамента финансов Томской области </w:t>
      </w:r>
      <w:r>
        <w:rPr>
          <w:rFonts w:ascii="PT Astra Serif" w:hAnsi="PT Astra Serif"/>
          <w:sz w:val="28"/>
          <w:szCs w:val="28"/>
        </w:rPr>
        <w:t>Сидонскую</w:t>
      </w:r>
      <w:r>
        <w:rPr>
          <w:rFonts w:ascii="PT Astra Serif" w:hAnsi="PT Astra Serif"/>
          <w:sz w:val="28"/>
          <w:szCs w:val="28"/>
        </w:rPr>
        <w:t xml:space="preserve"> Я.В.</w:t>
      </w:r>
    </w:p>
    <w:p>
      <w:pPr>
        <w:pStyle w:val="ConsPlusNormal"/>
        <w:ind w:firstLine="709"/>
        <w:jc w:val="both"/>
        <w:rPr>
          <w:rFonts w:ascii="PT Astra Serif" w:hAnsi="PT Astra Serif" w:cs="Times New Roman"/>
          <w:sz w:val="28"/>
          <w:szCs w:val="28"/>
        </w:rPr>
      </w:pPr>
    </w:p>
    <w:p>
      <w:pPr>
        <w:pStyle w:val="ConsPlusNormal"/>
        <w:ind w:firstLine="709"/>
        <w:jc w:val="both"/>
        <w:rPr>
          <w:rFonts w:ascii="PT Astra Serif" w:hAnsi="PT Astra Serif" w:cs="Times New Roman"/>
          <w:sz w:val="28"/>
          <w:szCs w:val="28"/>
        </w:rPr>
      </w:pPr>
    </w:p>
    <w:p>
      <w:pPr>
        <w:pStyle w:val="ConsPlusNormal"/>
        <w:ind w:firstLine="709"/>
        <w:jc w:val="both"/>
        <w:rPr>
          <w:rFonts w:ascii="PT Astra Serif" w:hAnsi="PT Astra Serif" w:cs="Times New Roman"/>
          <w:sz w:val="28"/>
          <w:szCs w:val="28"/>
        </w:rPr>
      </w:pPr>
    </w:p>
    <w:tbl>
      <w:tblPr>
        <w:tblW w:w="9889" w:type="dxa"/>
        <w:tblLayout w:type="fixed"/>
        <w:tblLook w:val="04A0"/>
      </w:tblPr>
      <w:tblGrid>
        <w:gridCol w:w="3543"/>
        <w:gridCol w:w="3118"/>
        <w:gridCol w:w="3228"/>
      </w:tblGrid>
      <w:tr>
        <w:tblPrEx>
          <w:tblW w:w="9889" w:type="dxa"/>
          <w:tblLayout w:type="fixed"/>
          <w:tblLook w:val="04A0"/>
        </w:tblPrEx>
        <w:tc>
          <w:tcPr>
            <w:tcW w:w="3543" w:type="dxa"/>
            <w:tcBorders>
              <w:top w:val="nil"/>
              <w:left w:val="nil"/>
              <w:bottom w:val="nil"/>
              <w:right w:val="nil"/>
            </w:tcBorders>
            <w:noWrap/>
            <w:textDirection w:val="lrTb"/>
          </w:tcPr>
          <w:p>
            <w:pPr>
              <w:tabs>
                <w:tab w:val="left" w:pos="7088"/>
              </w:tabs>
              <w:jc w:val="both"/>
              <w:rPr>
                <w:sz w:val="28"/>
                <w:szCs w:val="28"/>
              </w:rPr>
            </w:pPr>
            <w:r>
              <w:rPr>
                <w:rFonts w:ascii="PT Astra Serif" w:hAnsi="PT Astra Serif"/>
                <w:sz w:val="28"/>
                <w:szCs w:val="28"/>
              </w:rPr>
              <w:t>Заместитель Губернатора Томской области -</w:t>
            </w:r>
          </w:p>
          <w:p>
            <w:pPr>
              <w:tabs>
                <w:tab w:val="left" w:pos="7088"/>
              </w:tabs>
              <w:jc w:val="both"/>
              <w:rPr>
                <w:sz w:val="28"/>
                <w:szCs w:val="28"/>
              </w:rPr>
            </w:pPr>
            <w:r>
              <w:rPr>
                <w:rFonts w:ascii="PT Astra Serif" w:hAnsi="PT Astra Serif"/>
                <w:sz w:val="28"/>
                <w:szCs w:val="28"/>
              </w:rPr>
              <w:t>начальник Департамента финансов Томской области</w:t>
            </w:r>
          </w:p>
        </w:tc>
        <w:tc>
          <w:tcPr>
            <w:tcW w:w="3118" w:type="dxa"/>
            <w:tcBorders>
              <w:top w:val="nil"/>
              <w:left w:val="nil"/>
              <w:bottom w:val="nil"/>
              <w:right w:val="nil"/>
            </w:tcBorders>
            <w:noWrap/>
            <w:textDirection w:val="lrTb"/>
          </w:tcPr>
          <w:p>
            <w:pP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fldChar w:fldCharType="begin"/>
            </w:r>
            <w:bookmarkStart w:id="2" w:name="Штамп"/>
            <w:r>
              <w:rPr>
                <w:rFonts w:ascii="PT Astra Serif" w:eastAsia="PT Astra Serif" w:hAnsi="PT Astra Serif" w:cs="PT Astra Serif"/>
                <w:sz w:val="28"/>
                <w:szCs w:val="28"/>
              </w:rPr>
              <w:instrText xml:space="preserve"> FORMTEXT </w:instrText>
            </w:r>
            <w:r>
              <w:rPr>
                <w:rFonts w:ascii="PT Astra Serif" w:eastAsia="PT Astra Serif" w:hAnsi="PT Astra Serif" w:cs="PT Astra Serif"/>
                <w:sz w:val="28"/>
                <w:szCs w:val="28"/>
              </w:rPr>
              <w:fldChar w:fldCharType="separate"/>
            </w:r>
            <w:r>
              <w:rPr>
                <w:rFonts w:ascii="PT Astra Serif" w:eastAsia="PT Astra Serif" w:hAnsi="PT Astra Serif" w:cs="PT Astra Serif"/>
                <w:sz w:val="28"/>
                <w:szCs w:val="28"/>
              </w:rPr>
              <w:fldChar w:fldCharType="end"/>
            </w:r>
            <w:bookmarkEnd w:id="2"/>
          </w:p>
        </w:tc>
        <w:tc>
          <w:tcPr>
            <w:tcW w:w="3228" w:type="dxa"/>
            <w:tcBorders>
              <w:top w:val="nil"/>
              <w:left w:val="nil"/>
              <w:bottom w:val="nil"/>
              <w:right w:val="nil"/>
            </w:tcBorders>
            <w:noWrap/>
            <w:textDirection w:val="lrTb"/>
            <w:vAlign w:val="bottom"/>
          </w:tcPr>
          <w:p>
            <w:pPr>
              <w:tabs>
                <w:tab w:val="left" w:pos="7088"/>
              </w:tabs>
              <w:jc w:val="right"/>
              <w:rPr>
                <w:sz w:val="28"/>
                <w:szCs w:val="28"/>
              </w:rPr>
            </w:pPr>
            <w:r>
              <w:rPr>
                <w:rFonts w:ascii="PT Astra Serif" w:hAnsi="PT Astra Serif"/>
                <w:sz w:val="28"/>
                <w:szCs w:val="28"/>
              </w:rPr>
              <w:t xml:space="preserve">А.М. </w:t>
            </w:r>
            <w:r>
              <w:rPr>
                <w:rFonts w:ascii="PT Astra Serif" w:hAnsi="PT Astra Serif"/>
                <w:sz w:val="28"/>
                <w:szCs w:val="28"/>
              </w:rPr>
              <w:t>Феденёв</w:t>
            </w:r>
          </w:p>
        </w:tc>
      </w:tr>
    </w:tbl>
    <w:p>
      <w:pPr>
        <w:pBdr>
          <w:right w:val="nil"/>
        </w:pBdr>
        <w:tabs>
          <w:tab w:val="left" w:pos="7088"/>
        </w:tabs>
        <w:jc w:val="both"/>
        <w:rPr>
          <w:rFonts w:ascii="PT Astra Serif" w:eastAsia="PT Astra Serif" w:hAnsi="PT Astra Serif" w:cs="PT Astra Serif"/>
          <w:sz w:val="28"/>
          <w:szCs w:val="28"/>
        </w:rPr>
      </w:pPr>
    </w:p>
    <w:p>
      <w:pPr>
        <w:pBdr>
          <w:right w:val="nil"/>
        </w:pBdr>
        <w:tabs>
          <w:tab w:val="left" w:pos="7088"/>
        </w:tabs>
        <w:jc w:val="both"/>
        <w:rPr>
          <w:rFonts w:ascii="PT Astra Serif" w:hAnsi="PT Astra Serif"/>
          <w:sz w:val="28"/>
          <w:szCs w:val="28"/>
        </w:rPr>
      </w:pPr>
    </w:p>
    <w:p>
      <w:pPr>
        <w:pBdr>
          <w:right w:val="nil"/>
        </w:pBdr>
        <w:tabs>
          <w:tab w:val="left" w:pos="7088"/>
        </w:tabs>
        <w:jc w:val="both"/>
        <w:rPr>
          <w:rFonts w:ascii="PT Astra Serif" w:hAnsi="PT Astra Serif"/>
          <w:sz w:val="28"/>
          <w:szCs w:val="28"/>
        </w:rPr>
      </w:pPr>
    </w:p>
    <w:p>
      <w:pPr>
        <w:pBdr>
          <w:right w:val="nil"/>
        </w:pBdr>
        <w:tabs>
          <w:tab w:val="left" w:pos="7088"/>
        </w:tabs>
        <w:jc w:val="both"/>
        <w:rPr>
          <w:rFonts w:ascii="PT Astra Serif" w:hAnsi="PT Astra Serif"/>
          <w:sz w:val="28"/>
          <w:szCs w:val="28"/>
        </w:rPr>
      </w:pPr>
    </w:p>
    <w:p>
      <w:pPr>
        <w:pBdr>
          <w:right w:val="nil"/>
        </w:pBdr>
        <w:tabs>
          <w:tab w:val="left" w:pos="7088"/>
        </w:tabs>
        <w:jc w:val="both"/>
        <w:rPr>
          <w:rFonts w:ascii="PT Astra Serif" w:hAnsi="PT Astra Serif"/>
          <w:sz w:val="28"/>
          <w:szCs w:val="28"/>
        </w:rPr>
      </w:pPr>
    </w:p>
    <w:p>
      <w:pPr>
        <w:pBdr>
          <w:right w:val="nil"/>
        </w:pBdr>
        <w:tabs>
          <w:tab w:val="left" w:pos="7088"/>
        </w:tabs>
        <w:jc w:val="both"/>
        <w:rPr>
          <w:rFonts w:ascii="PT Astra Serif" w:hAnsi="PT Astra Serif"/>
          <w:sz w:val="28"/>
          <w:szCs w:val="28"/>
        </w:rPr>
      </w:pPr>
    </w:p>
    <w:p>
      <w:pPr>
        <w:pBdr>
          <w:right w:val="nil"/>
        </w:pBdr>
        <w:tabs>
          <w:tab w:val="left" w:pos="7088"/>
        </w:tabs>
        <w:jc w:val="both"/>
        <w:rPr>
          <w:rFonts w:ascii="PT Astra Serif" w:hAnsi="PT Astra Serif"/>
          <w:sz w:val="28"/>
          <w:szCs w:val="28"/>
        </w:rPr>
      </w:pPr>
    </w:p>
    <w:p>
      <w:pPr>
        <w:pBdr>
          <w:right w:val="nil"/>
        </w:pBdr>
        <w:tabs>
          <w:tab w:val="left" w:pos="7088"/>
        </w:tabs>
        <w:jc w:val="both"/>
        <w:rPr>
          <w:rFonts w:ascii="PT Astra Serif" w:hAnsi="PT Astra Serif"/>
          <w:sz w:val="28"/>
          <w:szCs w:val="28"/>
        </w:rPr>
      </w:pPr>
    </w:p>
    <w:p>
      <w:pPr>
        <w:rPr>
          <w:rFonts w:ascii="PT Astra Serif" w:hAnsi="PT Astra Serif"/>
          <w:sz w:val="18"/>
          <w:szCs w:val="18"/>
        </w:rPr>
      </w:pPr>
      <w:r>
        <w:rPr>
          <w:rFonts w:ascii="PT Astra Serif" w:hAnsi="PT Astra Serif"/>
          <w:sz w:val="28"/>
          <w:szCs w:val="28"/>
        </w:rPr>
        <w:br w:type="page"/>
      </w:r>
    </w:p>
    <w:p>
      <w:pPr>
        <w:ind w:left="5528"/>
        <w:rPr>
          <w:rFonts w:ascii="PT Astra Serif" w:hAnsi="PT Astra Serif" w:cs="PT Astra Serif"/>
          <w:sz w:val="28"/>
          <w:szCs w:val="28"/>
        </w:rPr>
      </w:pPr>
      <w:r>
        <w:rPr>
          <w:rFonts w:ascii="PT Astra Serif" w:eastAsia="PT Astra Serif" w:hAnsi="PT Astra Serif" w:cs="PT Astra Serif"/>
          <w:sz w:val="28"/>
          <w:szCs w:val="28"/>
        </w:rPr>
        <w:t>УТВЕРЖДЕНЫ</w:t>
      </w:r>
    </w:p>
    <w:p>
      <w:pPr>
        <w:ind w:left="5528"/>
        <w:rPr>
          <w:rFonts w:ascii="PT Astra Serif" w:hAnsi="PT Astra Serif" w:cs="PT Astra Serif"/>
          <w:sz w:val="28"/>
          <w:szCs w:val="28"/>
        </w:rPr>
      </w:pPr>
      <w:r>
        <w:rPr>
          <w:rFonts w:ascii="PT Astra Serif" w:eastAsia="PT Astra Serif" w:hAnsi="PT Astra Serif" w:cs="PT Astra Serif"/>
          <w:sz w:val="28"/>
          <w:szCs w:val="28"/>
        </w:rPr>
        <w:t>приказом Департамента финансов</w:t>
      </w:r>
    </w:p>
    <w:p>
      <w:pPr>
        <w:ind w:left="5528"/>
        <w:rPr>
          <w:rFonts w:ascii="PT Astra Serif" w:hAnsi="PT Astra Serif" w:cs="PT Astra Serif"/>
          <w:sz w:val="28"/>
          <w:szCs w:val="28"/>
        </w:rPr>
      </w:pPr>
      <w:r>
        <w:rPr>
          <w:rFonts w:ascii="PT Astra Serif" w:eastAsia="PT Astra Serif" w:hAnsi="PT Astra Serif" w:cs="PT Astra Serif"/>
          <w:sz w:val="28"/>
          <w:szCs w:val="28"/>
        </w:rPr>
        <w:t>Томской области</w:t>
      </w:r>
    </w:p>
    <w:p>
      <w:pPr>
        <w:tabs>
          <w:tab w:val="left" w:pos="7087"/>
          <w:tab w:val="left" w:pos="7228"/>
        </w:tabs>
        <w:ind w:left="5528"/>
        <w:rPr>
          <w:rFonts w:ascii="PT Astra Serif" w:hAnsi="PT Astra Serif" w:cs="PT Astra Serif"/>
          <w:sz w:val="28"/>
          <w:szCs w:val="28"/>
        </w:rPr>
      </w:pPr>
      <w:r>
        <w:rPr>
          <w:rFonts w:ascii="PT Astra Serif" w:eastAsia="PT Astra Serif" w:hAnsi="PT Astra Serif" w:cs="PT Astra Serif"/>
          <w:sz w:val="28"/>
          <w:szCs w:val="28"/>
        </w:rPr>
        <w:t xml:space="preserve">от </w:t>
      </w:r>
      <w:r>
        <w:rPr>
          <w:rFonts w:ascii="PT Astra Serif" w:eastAsia="PT Astra Serif" w:hAnsi="PT Astra Serif" w:cs="PT Astra Serif"/>
          <w:sz w:val="28"/>
          <w:szCs w:val="28"/>
        </w:rPr>
        <w:t>17.02.2026 № 7</w:t>
      </w:r>
    </w:p>
    <w:p>
      <w:pPr>
        <w:pStyle w:val="ConsPlusTitle"/>
        <w:jc w:val="center"/>
        <w:rPr>
          <w:rFonts w:ascii="PT Astra Serif" w:hAnsi="PT Astra Serif" w:cs="PT Astra Serif"/>
          <w:b w:val="0"/>
          <w:bCs w:val="0"/>
          <w:sz w:val="28"/>
          <w:szCs w:val="28"/>
        </w:rPr>
      </w:pPr>
    </w:p>
    <w:p>
      <w:pPr>
        <w:pStyle w:val="ConsPlusTitle"/>
        <w:jc w:val="center"/>
        <w:rPr>
          <w:rFonts w:ascii="PT Astra Serif" w:hAnsi="PT Astra Serif" w:cs="PT Astra Serif"/>
          <w:b w:val="0"/>
          <w:bCs w:val="0"/>
          <w:sz w:val="28"/>
          <w:szCs w:val="28"/>
          <w:highlight w:val="white"/>
        </w:rPr>
      </w:pPr>
    </w:p>
    <w:p>
      <w:pPr>
        <w:pStyle w:val="ConsPlusTitle"/>
        <w:jc w:val="center"/>
        <w:rPr>
          <w:rFonts w:ascii="PT Astra Serif" w:hAnsi="PT Astra Serif" w:cs="PT Astra Serif"/>
          <w:b w:val="0"/>
          <w:sz w:val="28"/>
          <w:szCs w:val="28"/>
          <w:highlight w:val="white"/>
        </w:rPr>
      </w:pPr>
      <w:r>
        <w:rPr>
          <w:rFonts w:ascii="PT Astra Serif" w:eastAsia="PT Astra Serif" w:hAnsi="PT Astra Serif" w:cs="PT Astra Serif"/>
          <w:b w:val="0"/>
          <w:sz w:val="28"/>
          <w:szCs w:val="28"/>
          <w:highlight w:val="white"/>
        </w:rPr>
        <w:t>Условия</w:t>
      </w:r>
    </w:p>
    <w:p>
      <w:pPr>
        <w:widowControl w:val="0"/>
        <w:jc w:val="center"/>
        <w:rPr>
          <w:rFonts w:ascii="PT Astra Serif" w:hAnsi="PT Astra Serif" w:cs="PT Astra Serif"/>
          <w:bCs/>
          <w:sz w:val="28"/>
          <w:szCs w:val="28"/>
        </w:rPr>
      </w:pPr>
      <w:r>
        <w:rPr>
          <w:rFonts w:ascii="PT Astra Serif" w:eastAsia="PT Astra Serif" w:hAnsi="PT Astra Serif" w:cs="PT Astra Serif"/>
          <w:bCs/>
          <w:sz w:val="28"/>
          <w:szCs w:val="28"/>
        </w:rPr>
        <w:t>эмиссии и обращения облигаций биржевого в</w:t>
      </w:r>
      <w:bookmarkStart w:id="3" w:name="_GoBack"/>
      <w:bookmarkEnd w:id="3"/>
      <w:r>
        <w:rPr>
          <w:rFonts w:ascii="PT Astra Serif" w:eastAsia="PT Astra Serif" w:hAnsi="PT Astra Serif" w:cs="PT Astra Serif"/>
          <w:bCs/>
          <w:sz w:val="28"/>
          <w:szCs w:val="28"/>
        </w:rPr>
        <w:t>нутреннего займа Томской области 2026 года с фиксированным купонным доходом и амортизацией долга</w:t>
      </w:r>
    </w:p>
    <w:p>
      <w:pPr>
        <w:ind w:firstLine="540"/>
        <w:jc w:val="both"/>
        <w:rPr>
          <w:rFonts w:ascii="PT Astra Serif" w:hAnsi="PT Astra Serif" w:cs="PT Astra Serif"/>
          <w:sz w:val="28"/>
          <w:szCs w:val="28"/>
        </w:rPr>
      </w:pPr>
    </w:p>
    <w:p>
      <w:pPr>
        <w:pStyle w:val="ConsPlusNormal"/>
        <w:jc w:val="center"/>
        <w:outlineLvl w:val="1"/>
        <w:rPr>
          <w:rFonts w:ascii="PT Astra Serif" w:hAnsi="PT Astra Serif" w:cs="PT Astra Serif"/>
          <w:sz w:val="28"/>
          <w:szCs w:val="28"/>
        </w:rPr>
      </w:pPr>
      <w:r>
        <w:rPr>
          <w:rFonts w:ascii="PT Astra Serif" w:eastAsia="PT Astra Serif" w:hAnsi="PT Astra Serif" w:cs="PT Astra Serif"/>
          <w:sz w:val="28"/>
          <w:szCs w:val="28"/>
        </w:rPr>
        <w:t xml:space="preserve">1. Общие положения    </w:t>
      </w:r>
    </w:p>
    <w:p>
      <w:pPr>
        <w:pStyle w:val="ConsPlusNormal"/>
        <w:jc w:val="both"/>
        <w:rPr>
          <w:rFonts w:ascii="PT Astra Serif" w:hAnsi="PT Astra Serif" w:cs="PT Astra Serif"/>
          <w:sz w:val="28"/>
          <w:szCs w:val="28"/>
        </w:rPr>
      </w:pP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1. Настоящие Условия эмиссии и обращения облигаций биржевого внутреннего займа Томской области 2026 года с фиксированным купонным доходом и амортизацией долга (далее – Условия эмиссии) приняты в соответствии с Генеральными </w:t>
      </w:r>
      <w:hyperlink r:id="rId4" w:tooltip="consultantplus://offline/ref=D523E86BA2935134C04978F4A5A7A36278CB6038695CAE4F6FAE2C82C3978C9DE5BB2B67819AD8DD788CB1A1gFF" w:history="1">
        <w:r>
          <w:rPr>
            <w:rFonts w:ascii="PT Astra Serif" w:eastAsia="PT Astra Serif" w:hAnsi="PT Astra Serif" w:cs="PT Astra Serif"/>
            <w:sz w:val="28"/>
            <w:szCs w:val="28"/>
          </w:rPr>
          <w:t>условиями</w:t>
        </w:r>
      </w:hyperlink>
      <w:r>
        <w:rPr>
          <w:rFonts w:ascii="PT Astra Serif" w:eastAsia="PT Astra Serif" w:hAnsi="PT Astra Serif" w:cs="PT Astra Serif"/>
          <w:sz w:val="28"/>
          <w:szCs w:val="28"/>
        </w:rPr>
        <w:t xml:space="preserve"> эмиссии и обращения облигаций биржевого внутреннего займа Томской области, утвержденными постановлением Администрации Томской области от 26.04.2012 № 161а «О выпуске обли</w:t>
      </w:r>
      <w:r>
        <w:rPr>
          <w:rFonts w:ascii="PT Astra Serif" w:eastAsia="PT Astra Serif" w:hAnsi="PT Astra Serif" w:cs="PT Astra Serif"/>
          <w:sz w:val="28"/>
          <w:szCs w:val="28"/>
        </w:rPr>
        <w:t>гаций биржевого внутреннего займа» (далее - Генеральные условия), и определяют порядок эмиссии, обращения и погашения облигаций биржевого внутреннего займа Томской области 2026 года с фиксированным купонным доходом и амортизацией долга (далее - Облигации).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2. Эмитентом Облигаций от имени Томской области выступает Департамент финансов Томской области (далее - Эмитент).</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Юридический и почтовый адрес Эмитента: 634050, г. Томск, пр. Ленина, </w:t>
      </w:r>
      <w:r>
        <w:rPr>
          <w:rFonts w:ascii="PT Astra Serif" w:eastAsia="PT Astra Serif" w:hAnsi="PT Astra Serif" w:cs="PT Astra Serif"/>
          <w:sz w:val="28"/>
          <w:szCs w:val="28"/>
        </w:rPr>
        <w:br/>
        <w:t>д. 111.</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Мероприятия, необходимые для осуществления эмиссии, обращения и погашения Облигаций, проводит Эмитент. </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3. Генеральным агентом Эмитента выступает профессиональный участник рынка ценных бумаг, определенный в соответствии с законодательством Российской Федерации и заключивший с Эмитентом государственный контракт (далее - Генеральный агент).</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Уполномоченным депозитарием выступает профессиональный участник рынка ценных бумаг, осуществляющий на основании с</w:t>
      </w:r>
      <w:r>
        <w:rPr>
          <w:rFonts w:ascii="PT Astra Serif" w:eastAsia="PT Astra Serif" w:hAnsi="PT Astra Serif" w:cs="PT Astra Serif"/>
          <w:sz w:val="28"/>
          <w:szCs w:val="28"/>
        </w:rPr>
        <w:t xml:space="preserve">оответствующей лицензии обязательное централизованное хранение глобального сертификата Облигаций, определенный в соответствии с законодательством Российской Федерации и заключивший с Эмитентом государственный контракт (далее - Уполномоченный депозитарий). </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Организатором торговли выступает лицо,</w:t>
      </w:r>
      <w:r>
        <w:rPr>
          <w:rFonts w:ascii="PT Astra Serif" w:eastAsia="PT Astra Serif" w:hAnsi="PT Astra Serif" w:cs="PT Astra Serif"/>
          <w:sz w:val="28"/>
          <w:szCs w:val="28"/>
        </w:rPr>
        <w:t xml:space="preserve"> оказывающее услуги по проведению организованных торгов на финансовом рынке на основании лицензии биржи, определенное в соответствии с законодательством Российской Федерации и заключивший с Эмитентом государственный контракт (далее - Организатор торговли).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Данные о Генеральном агенте, Уполномоченном депозитарии и </w:t>
      </w:r>
      <w:r>
        <w:rPr>
          <w:rFonts w:ascii="PT Astra Serif" w:eastAsia="PT Astra Serif" w:hAnsi="PT Astra Serif" w:cs="PT Astra Serif"/>
          <w:sz w:val="28"/>
          <w:szCs w:val="28"/>
        </w:rPr>
        <w:t>Организаторе торговли раскрываются в решениях об эмиссии Облигаций (далее - Решение об эмиссии).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4. Облигации являются государственными ценными бумагами с  фиксированным купонным доходом и амортизацией долга и выпускаются в форме именных документарных ценных бумаг с обязательным централизованным хранением (учетом) Глобального сертификата Облигаций.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5. Облигации п</w:t>
      </w:r>
      <w:r>
        <w:rPr>
          <w:rFonts w:ascii="PT Astra Serif" w:eastAsia="PT Astra Serif" w:hAnsi="PT Astra Serif" w:cs="PT Astra Serif"/>
          <w:sz w:val="28"/>
          <w:szCs w:val="28"/>
        </w:rPr>
        <w:t>редоставляют их владельцам право на получение номинальной стоимости Облигаций, выплачиваемой частями в размере и в даты, установленные Решением об эмиссии, и на получение купонного дохода, начисляемого на непогашенную часть номинальной стоимости Облигаций.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Владельцы Облигаций имеют право владеть, пользоваться и распоряжаться принадлежащими им Облигациями в соответствии с законодательством Российской Федерации.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Владельцы Облигаций имеют право совершать с Облигациями гражданско-правовые сделки в соответствии с законодательством Российской Федерации, Генеральными </w:t>
      </w:r>
      <w:hyperlink r:id="rId5" w:tooltip="consultantplus://offline/ref=D523E86BA2935134C04978F4A5A7A36278CB6038695CAE4F6FAE2C82C3978C9DE5BB2B67819AD8DD788CB6A1gFF" w:history="1">
        <w:r>
          <w:rPr>
            <w:rFonts w:ascii="PT Astra Serif" w:eastAsia="PT Astra Serif" w:hAnsi="PT Astra Serif" w:cs="PT Astra Serif"/>
            <w:sz w:val="28"/>
            <w:szCs w:val="28"/>
          </w:rPr>
          <w:t>условиями</w:t>
        </w:r>
      </w:hyperlink>
      <w:r>
        <w:rPr>
          <w:rFonts w:ascii="PT Astra Serif" w:eastAsia="PT Astra Serif" w:hAnsi="PT Astra Serif" w:cs="PT Astra Serif"/>
          <w:sz w:val="28"/>
          <w:szCs w:val="28"/>
        </w:rPr>
        <w:t>, настоящими Условиями эмиссии и Решениями об эмиссии.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Права владельцев Облигаций при соблюдении ими установленного законодательством Российской Федерации порядка осуществления этих прав обеспечиваются Эмитентом.</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6. Эмиссия Облигаций осуществляется выпусками. Облигации в рамках одного выпуска равны между собой по объему предоставляемых ими прав.</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Выпуск Облигаций, отличающийся от одного из существующих выпусков Облигаций только датой выпуска (датой размещения), признается частью существующего выпуска Облигаци</w:t>
      </w:r>
      <w:r>
        <w:rPr>
          <w:rFonts w:ascii="PT Astra Serif" w:eastAsia="PT Astra Serif" w:hAnsi="PT Astra Serif" w:cs="PT Astra Serif"/>
          <w:sz w:val="28"/>
          <w:szCs w:val="28"/>
        </w:rPr>
        <w:t>й (дополнительный выпуск Облигаций), и ему присваивается государственный регистрационный номер существующего выпуска. Решение об эмиссии дополнительного выпуска Облигаций должно содержать указание на то, что данный выпуск Облигаций является дополнительным.</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7. В соответствии с настоящими Условиями эмиссии выпуски Облигаций могут иметь разные сроки обращения от 1 года до 10 лет включительно.</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Срок обращения выпуска Облигаций устанавливается в Решении об эмиссии.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8. Номинальная стоимость Облигации выражается в валюте Российской Федерации и составляет 1000 рублей.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9. Каждый выпуск Облигаций оформляется одним Глобальным сертификатом, который удостоверяет совокупность прав на Облигации, указанные в нем, и передается на хранение (учет) Уполномоченному депозитарию.</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Глобальный сертификат на руки владельцам Облигаций не выдается. Право собственности на Облигации переходит  в момент осуществления приходной записи по счету депо приобретателя.</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Учет и удостоверение прав на Облигации, учет и удостоверение передачи Облигаций, включая случаи обременения Облигаций обязательствами, </w:t>
      </w:r>
      <w:r>
        <w:rPr>
          <w:rFonts w:ascii="PT Astra Serif" w:eastAsia="PT Astra Serif" w:hAnsi="PT Astra Serif" w:cs="PT Astra Serif"/>
          <w:sz w:val="28"/>
          <w:szCs w:val="28"/>
        </w:rPr>
        <w:t>осуществляется Уполномоченным депозитарием, осуществляющим централизованное хранение Глобального сертификата, и иными депозитариями, осуществляющими учет прав на Облигации, за исключением Уполномоченного депозитария (далее – Депозитарии).</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Удостоверением права владельца на Облигации является выписка со счета депо в Уполномоченном депозитарии или Депозитариях.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10. На основании Генеральных </w:t>
      </w:r>
      <w:hyperlink r:id="rId5" w:tooltip="consultantplus://offline/ref=D523E86BA2935134C04978F4A5A7A36278CB6038695CAE4F6FAE2C82C3978C9DE5BB2B67819AD8DD788CB6A1gFF" w:history="1">
        <w:r>
          <w:rPr>
            <w:rFonts w:ascii="PT Astra Serif" w:eastAsia="PT Astra Serif" w:hAnsi="PT Astra Serif" w:cs="PT Astra Serif"/>
            <w:sz w:val="28"/>
            <w:szCs w:val="28"/>
          </w:rPr>
          <w:t>условий</w:t>
        </w:r>
      </w:hyperlink>
      <w:r>
        <w:rPr>
          <w:rFonts w:ascii="PT Astra Serif" w:eastAsia="PT Astra Serif" w:hAnsi="PT Astra Serif" w:cs="PT Astra Serif"/>
          <w:sz w:val="28"/>
          <w:szCs w:val="28"/>
        </w:rPr>
        <w:t xml:space="preserve"> и настоящих Условий эмиссии Эмитентом утверждается Решение об эмиссии каждого отдельного выпуска Облигаций, предусматривающее конкретные условия, необходимые в соответствии с законодательством Российской Федерации для эмиссии отдельного выпуска Облигаций.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11. Вопросы эмиссии, обращения и погашения Облигаций, не урегулированные Генеральными </w:t>
      </w:r>
      <w:hyperlink r:id="rId5" w:tooltip="consultantplus://offline/ref=D523E86BA2935134C04978F4A5A7A36278CB6038695CAE4F6FAE2C82C3978C9DE5BB2B67819AD8DD788CB6A1gFF" w:history="1">
        <w:r>
          <w:rPr>
            <w:rFonts w:ascii="PT Astra Serif" w:eastAsia="PT Astra Serif" w:hAnsi="PT Astra Serif" w:cs="PT Astra Serif"/>
            <w:sz w:val="28"/>
            <w:szCs w:val="28"/>
          </w:rPr>
          <w:t>условиями</w:t>
        </w:r>
      </w:hyperlink>
      <w:r>
        <w:rPr>
          <w:rFonts w:ascii="PT Astra Serif" w:eastAsia="PT Astra Serif" w:hAnsi="PT Astra Serif" w:cs="PT Astra Serif"/>
          <w:sz w:val="28"/>
          <w:szCs w:val="28"/>
        </w:rPr>
        <w:t>, настоящими Условиями эмиссии и Решением об эмиссии, регламентируются Эмитентом в соответствии с законодательством Российской Федерации.</w:t>
      </w:r>
    </w:p>
    <w:p>
      <w:pPr>
        <w:pStyle w:val="ConsPlusNormal"/>
        <w:ind w:firstLine="709"/>
        <w:jc w:val="both"/>
        <w:rPr>
          <w:rFonts w:ascii="PT Astra Serif" w:hAnsi="PT Astra Serif" w:cs="PT Astra Serif"/>
          <w:sz w:val="28"/>
          <w:szCs w:val="28"/>
        </w:rPr>
      </w:pPr>
    </w:p>
    <w:p>
      <w:pPr>
        <w:pStyle w:val="ConsPlusNormal"/>
        <w:ind w:left="567" w:firstLine="709"/>
        <w:jc w:val="center"/>
        <w:outlineLvl w:val="1"/>
        <w:rPr>
          <w:rFonts w:ascii="PT Astra Serif" w:hAnsi="PT Astra Serif" w:cs="PT Astra Serif"/>
          <w:sz w:val="28"/>
          <w:szCs w:val="28"/>
        </w:rPr>
      </w:pPr>
      <w:r>
        <w:rPr>
          <w:rFonts w:ascii="PT Astra Serif" w:eastAsia="PT Astra Serif" w:hAnsi="PT Astra Serif" w:cs="PT Astra Serif"/>
          <w:sz w:val="28"/>
          <w:szCs w:val="28"/>
        </w:rPr>
        <w:t>2. Порядок размещения и обращения Облигаций</w:t>
      </w:r>
    </w:p>
    <w:p>
      <w:pPr>
        <w:pStyle w:val="ConsPlusNormal"/>
        <w:ind w:firstLine="709"/>
        <w:jc w:val="both"/>
        <w:rPr>
          <w:rFonts w:ascii="PT Astra Serif" w:hAnsi="PT Astra Serif" w:cs="PT Astra Serif"/>
          <w:sz w:val="28"/>
          <w:szCs w:val="28"/>
        </w:rPr>
      </w:pP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12. Дата начала размещения Облигаций устанавливается в Решении об эмиссии.</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Дата окончания размещения Облигаций - день продажи последней Облигации первым владельцам.</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13. Раскрыти</w:t>
      </w:r>
      <w:r>
        <w:rPr>
          <w:rFonts w:ascii="PT Astra Serif" w:eastAsia="PT Astra Serif" w:hAnsi="PT Astra Serif" w:cs="PT Astra Serif"/>
          <w:sz w:val="28"/>
          <w:szCs w:val="28"/>
        </w:rPr>
        <w:t>е информации, содержащейся в Решении об эмиссии, осуществляется путем размещения (опубликования) на официальном сайте Эмитента в информационно-телекоммуникационной сети Интернет не позднее чем за два рабочих дня до даты начала размещения выпуска Облигаций.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14. Размещение, обращение, включая выкуп Об</w:t>
      </w:r>
      <w:r>
        <w:rPr>
          <w:rFonts w:ascii="PT Astra Serif" w:eastAsia="PT Astra Serif" w:hAnsi="PT Astra Serif" w:cs="PT Astra Serif"/>
          <w:sz w:val="28"/>
          <w:szCs w:val="28"/>
        </w:rPr>
        <w:t>лигаций, осуществляются на торгах Организатора торговли в соответствии с установленными им правилами организованных торгов в соответствии с законодательством Российской Федерации, Генеральными условиями, настоящими Условиями эмиссии и Решениями об эмиссии.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В рамках эмиссии Облигаций размещение выпусков Облигаций может осуществляться в со</w:t>
      </w:r>
      <w:r>
        <w:rPr>
          <w:rFonts w:ascii="PT Astra Serif" w:eastAsia="PT Astra Serif" w:hAnsi="PT Astra Serif" w:cs="PT Astra Serif"/>
          <w:sz w:val="28"/>
          <w:szCs w:val="28"/>
        </w:rPr>
        <w:t>ответствии с законодательством Российской Федерации, настоящими Условиями эмиссии и Решением об эмиссии путем заключения сделок купли-продажи Облигаций между Генеральным агентом, действующим по поручению и за счет Эмитента, и первыми владельцами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Размещение Облигаций может осуществляться одним из следующих способов:</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 путем проведения аукциона по определению цены размещения Облигаций в процентах от номинальной стоимости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 путем проведения конкурса по определению ставки купонного дохода на первый купонный период по Облигациям в процентах годовых;</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 путем сбора адресных заявок со стороны покупателей на приобретение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по процентной ставке первого купона и цене размещения, равной номинальной стоимости Облигаций в дату начала размещения и равной или отличной от нее в остальные даты (далее – Сбор адресных заявок по купону);</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по цене размещения Облигаций и с процентными ставками купонного дохода или порядком его расчета по всем купонным периодам (ставки всех купонов), заранее определенными Эмитентом (далее - Сбор адресных заявок по цене).</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Способ размещения Облигаций устанавливается в Решении об эмиссии.</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15. Размещение Облигаций путем проведения аукциона по определению цены размещения.</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Предметом аукциона является определение цены размещения Облигаций в процентах от номинальной стоимости Облигаций. Порядок расчета купонного дохода по Облигациям устанавливается Эмитентом в Решении об эмиссии.</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Участники аукциона подают заявки на покупку Облигаций. Существенным условием каждой заявки на покупку Облигаций является указание цены размещения Облигаций в процентах от номинальной стоимости Облигаций и количества приобретаемых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Эмитент устанавливает единую цену размещения Облигаций на основании </w:t>
      </w:r>
      <w:r>
        <w:rPr>
          <w:rFonts w:ascii="PT Astra Serif" w:eastAsia="PT Astra Serif" w:hAnsi="PT Astra Serif" w:cs="PT Astra Serif"/>
          <w:sz w:val="28"/>
          <w:szCs w:val="28"/>
        </w:rPr>
        <w:t>поданных участниками аукциона заявок и с учетом приемлемой стоимости заимствования. Генеральный агент удовлетворяет только те заявки участников аукциона, в которых цена размещения Облигаций равна или выше цены размещения Облигаций, установленной Эмитентом.</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Заявки на </w:t>
      </w:r>
      <w:r>
        <w:rPr>
          <w:rFonts w:ascii="PT Astra Serif" w:eastAsia="PT Astra Serif" w:hAnsi="PT Astra Serif" w:cs="PT Astra Serif"/>
          <w:sz w:val="28"/>
          <w:szCs w:val="28"/>
        </w:rPr>
        <w:t>покупку Облигаций удовлетворяются на условиях приоритета заявок на покупку Облигаций с наибольшей ценой размещения Облигаций, то есть в первую очередь удовлетворяются заявки на покупку Облигаций, в которых указана наибольшая цена размещения Облигаций. Если</w:t>
      </w:r>
      <w:r>
        <w:rPr>
          <w:rFonts w:ascii="PT Astra Serif" w:eastAsia="PT Astra Serif" w:hAnsi="PT Astra Serif" w:cs="PT Astra Serif"/>
          <w:sz w:val="28"/>
          <w:szCs w:val="28"/>
        </w:rPr>
        <w:t xml:space="preserve"> с одинаковой ценой размещения Облигаций зарегистрировано несколько заявок на покупку Облигаций, то в первую очередь удовлетворяются заявки на покупку Облигаций, поданные ранее по времени. Количество Облигаций, указанных в заявке на покупку Облигаций, не в</w:t>
      </w:r>
      <w:r>
        <w:rPr>
          <w:rFonts w:ascii="PT Astra Serif" w:eastAsia="PT Astra Serif" w:hAnsi="PT Astra Serif" w:cs="PT Astra Serif"/>
          <w:sz w:val="28"/>
          <w:szCs w:val="28"/>
        </w:rPr>
        <w:t>лияет на ее приоритет. В случае если объем последней из удовлетворяемых заявок на покупку Облигаций превышает количество Облигаций, оставшихся неразмещенными, то данная заявка на покупку Облигаций удовлетворяется в размере неразмещенного остатка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16. Размещение Облигаций путем проведения конкурса по определению ставки купонного дохода на первый купонный период.</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Предметом конкурса является определение ставки купонного дохода на первый купонный период по Облигациям в процентах годовых.</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Размещение Облигаций в дату проведения конкурса осуществляется по цене, равной 100 (ста) процентам от номинальной стоимости Облигаций и равной или отличной от нее в последующие даты.</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Участники конкурса подают в адрес Генерального агента заявки на покупку Облигаций. Существенным условием каждой заявки на покупку Облигаций является указание ставки купонного дохода на первый купонный </w:t>
      </w:r>
      <w:r>
        <w:rPr>
          <w:rFonts w:ascii="PT Astra Serif" w:eastAsia="PT Astra Serif" w:hAnsi="PT Astra Serif" w:cs="PT Astra Serif"/>
          <w:sz w:val="28"/>
          <w:szCs w:val="28"/>
        </w:rPr>
        <w:t>период в процентах годовых, цены Облигаций в процентах от номинальной стоимости Облигаций и количества приобретаемых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Эмитент устанавливает ставку купонного дохода на первый купонный период по Облигациям с учетом приемлемой стоимости заимствования на основании поданных участни</w:t>
      </w:r>
      <w:r>
        <w:rPr>
          <w:rFonts w:ascii="PT Astra Serif" w:eastAsia="PT Astra Serif" w:hAnsi="PT Astra Serif" w:cs="PT Astra Serif"/>
          <w:sz w:val="28"/>
          <w:szCs w:val="28"/>
        </w:rPr>
        <w:t>ками конкурса заявок. Генеральный агент удовлетворяет только те заявки участников конкурса, в которых ставка купонного дохода на первый купонный период по Облигациям равна или ниже ставки купонного дохода на первый купонный период, установленной Эмитентом.</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Заявки на покупку Облигаций удовлетворяются на условиях приоритета заявок на пок</w:t>
      </w:r>
      <w:r>
        <w:rPr>
          <w:rFonts w:ascii="PT Astra Serif" w:eastAsia="PT Astra Serif" w:hAnsi="PT Astra Serif" w:cs="PT Astra Serif"/>
          <w:sz w:val="28"/>
          <w:szCs w:val="28"/>
        </w:rPr>
        <w:t>упку Облигаций с минимальной ставкой купонного дохода на первый купонный период, то есть в первую очередь удовлетворяются заявки на покупку Облигаций, в которых указана меньшая ставка купонного дохода на первый купонный период. Если с одинаковой ставкой ку</w:t>
      </w:r>
      <w:r>
        <w:rPr>
          <w:rFonts w:ascii="PT Astra Serif" w:eastAsia="PT Astra Serif" w:hAnsi="PT Astra Serif" w:cs="PT Astra Serif"/>
          <w:sz w:val="28"/>
          <w:szCs w:val="28"/>
        </w:rPr>
        <w:t>понного дохода на первый купонный период зарегистрировано несколько заявок на покупку Облигаций, то в первую очередь удовлетворяются заявки на покупку Облигаций, поданные ранее по времени. Количество Облигаций, указанных в заявке на покупку облигаций, не в</w:t>
      </w:r>
      <w:r>
        <w:rPr>
          <w:rFonts w:ascii="PT Astra Serif" w:eastAsia="PT Astra Serif" w:hAnsi="PT Astra Serif" w:cs="PT Astra Serif"/>
          <w:sz w:val="28"/>
          <w:szCs w:val="28"/>
        </w:rPr>
        <w:t>лияет на ее приоритет. В случае если объем последней из удовлетворяемых заявок на покупку Облигаций превышает количество Облигаций, оставшихся неразмещенными, то данная заявка на покупку Облигаций удовлетворяется в размере неразмещенного остатка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Информация о размере процентной ставки купонного дохода на первый купонный период размещается на официальном сайте Эмитента в информационно-телекоммуникационной сети Интернет в дату начала размещения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17. Размещение Облигаций путем Сбора адресных заявок по купону или Сбора адресных заявок по цене.</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Генеральный аген</w:t>
      </w:r>
      <w:r>
        <w:rPr>
          <w:rFonts w:ascii="PT Astra Serif" w:eastAsia="PT Astra Serif" w:hAnsi="PT Astra Serif" w:cs="PT Astra Serif"/>
          <w:sz w:val="28"/>
          <w:szCs w:val="28"/>
        </w:rPr>
        <w:t>т по поручению Эмитента направляет адресованное неопределенному кругу лиц приглашение делать предложение о приобретении Облигаций (далее - Оферта). Генеральный агент раскрывает информацию о сроках и порядке направления Оферт на своем сайте в сети Интернет.</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Потенциальные покупатели Облигаций направляют Оферты в адрес Генерального агента в сроки и в порядке, установленные в Решении об эмиссии, с указанием м</w:t>
      </w:r>
      <w:r>
        <w:rPr>
          <w:rFonts w:ascii="PT Astra Serif" w:eastAsia="PT Astra Serif" w:hAnsi="PT Astra Serif" w:cs="PT Astra Serif"/>
          <w:sz w:val="28"/>
          <w:szCs w:val="28"/>
        </w:rPr>
        <w:t>инимальной ставки купонного дохода на первый купонный период, приемлемой для потенциального покупателя, при размещении Облигаций путем Сбора адресных заявок по купону, или максимально приемлемой цены размещения при размещении Облигаций путем Сбора адресных</w:t>
      </w:r>
      <w:r>
        <w:rPr>
          <w:rFonts w:ascii="PT Astra Serif" w:eastAsia="PT Astra Serif" w:hAnsi="PT Astra Serif" w:cs="PT Astra Serif"/>
          <w:sz w:val="28"/>
          <w:szCs w:val="28"/>
        </w:rPr>
        <w:t xml:space="preserve"> заявок по цене, максимальной суммы, на которую он готов купить Облигации, и количества приобретаемых Облигаций, при этом потенциальный покупатель соглашается, что любая оферта может быть отклонена, акцептована полностью или в части по усмотрению Эмитента.</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После окончания срока для направления Оферт Генеральный агент формирует и передает Эмитенту сводный реестр Оферт. На основании анализа </w:t>
      </w:r>
      <w:r>
        <w:rPr>
          <w:rFonts w:ascii="PT Astra Serif" w:eastAsia="PT Astra Serif" w:hAnsi="PT Astra Serif" w:cs="PT Astra Serif"/>
          <w:sz w:val="28"/>
          <w:szCs w:val="28"/>
        </w:rPr>
        <w:t xml:space="preserve">сводного реестра Оферт и с учетом приемлемой стоимости заимствования Эмитент принимает решение о величине ставки купонного дохода на первый купонный период при размещении Облигаций путем </w:t>
      </w:r>
      <w:r>
        <w:rPr>
          <w:rFonts w:ascii="PT Astra Serif" w:eastAsia="PT Astra Serif" w:hAnsi="PT Astra Serif" w:cs="PT Astra Serif"/>
          <w:sz w:val="28"/>
          <w:szCs w:val="28"/>
        </w:rPr>
        <w:t>Сбора адресных заявок по купону или цены размещения при размещении путем Сбора адресных заявок по цене и определяет потенциальных покупателей, которым он намеревается продать Облигации, а также количество Облигаций, которые он намеревается продать потенциа</w:t>
      </w:r>
      <w:r>
        <w:rPr>
          <w:rFonts w:ascii="PT Astra Serif" w:eastAsia="PT Astra Serif" w:hAnsi="PT Astra Serif" w:cs="PT Astra Serif"/>
          <w:sz w:val="28"/>
          <w:szCs w:val="28"/>
        </w:rPr>
        <w:t>льным покупателям. В случае акцепта Оферты участник размещения соглашается, что количество Облигаций, указанное в Оферте, может быть уменьшено Эмитентом. Генеральный агент направляет акцепт на Оферты потенциальным покупателям, которые определены Эмитентом.</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Заключение сделок купли-продажи Облигаций осуществляется с использованием системы торгов Организатора торговли по цене размещения, </w:t>
      </w:r>
      <w:r>
        <w:rPr>
          <w:rFonts w:ascii="PT Astra Serif" w:eastAsia="PT Astra Serif" w:hAnsi="PT Astra Serif" w:cs="PT Astra Serif"/>
          <w:sz w:val="28"/>
          <w:szCs w:val="28"/>
        </w:rPr>
        <w:t xml:space="preserve">равной номинальной стоимости Облигаций, и ставке купонного дохода на первый купонный период, определенной Эмитентом в порядке, указанном в настоящих Условиях эмиссии и в Решении об эмиссии при размещении Облигаций путем Сбора адресных заявок по купону или </w:t>
      </w:r>
      <w:r>
        <w:rPr>
          <w:rFonts w:ascii="PT Astra Serif" w:eastAsia="PT Astra Serif" w:hAnsi="PT Astra Serif" w:cs="PT Astra Serif"/>
          <w:sz w:val="28"/>
          <w:szCs w:val="28"/>
        </w:rPr>
        <w:t>по установленной Эмитентом цене размещения и с процентными ставками купонного дохода или порядком их определения по всем купонным периодам (ставки всех купонов), заранее определенными Эмитентом, при размещении Облигаций путем Сбора адресных заявок по цене.</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В дату начала размещения Облигаций участники торгов Организатора торговли в течение периода подачи адресных заявок на покупку Облигаций, установленного Организатором торговли, по</w:t>
      </w:r>
      <w:r>
        <w:rPr>
          <w:rFonts w:ascii="PT Astra Serif" w:eastAsia="PT Astra Serif" w:hAnsi="PT Astra Serif" w:cs="PT Astra Serif"/>
          <w:sz w:val="28"/>
          <w:szCs w:val="28"/>
        </w:rPr>
        <w:t>дают адресные заявки на покупку Облигаций с использованием системы торгов Организатора торговли, как за свой счет, так и за счет и по поручению клиентов. Адресные заявки на приобретение Облигаций направляются участниками торгов в адрес Генерального агента.</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Адресная заявка на приобретение Облигаций должна содержать цену покупки в процентах от номинальной стоимости Облигаций, количество Облигаций, а также иную информацию в соответствии с правилами проведения торгов по ценным бумагам Организатора торговли.</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Организатор торговли составляет сводный р</w:t>
      </w:r>
      <w:r>
        <w:rPr>
          <w:rFonts w:ascii="PT Astra Serif" w:eastAsia="PT Astra Serif" w:hAnsi="PT Astra Serif" w:cs="PT Astra Serif"/>
          <w:sz w:val="28"/>
          <w:szCs w:val="28"/>
        </w:rPr>
        <w:t>еестр адресных заявок на покупку Облигаций, полученных в течение периода подачи адресных заявок на покупку Облигаций, и передает его Генеральному агенту. Генеральный агент передает вышеуказанный сводный реестр адресных заявок на покупку Облигаций Эмитенту.</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На основании анализа сводного реестра адресных заявок на покупку Облигаций Эмитент принимает решение об удовлетворении адресных заявок, руководствуясь наличием акцепта оферты о приобретении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Эмитент передает Генеральному агенту информацию об адресных заявках на покупку</w:t>
      </w:r>
      <w:r>
        <w:rPr>
          <w:rFonts w:ascii="PT Astra Serif" w:eastAsia="PT Astra Serif" w:hAnsi="PT Astra Serif" w:cs="PT Astra Serif"/>
          <w:sz w:val="28"/>
          <w:szCs w:val="28"/>
        </w:rPr>
        <w:t xml:space="preserve"> Облигаций, которые будут удовлетворены, после чего Эмитент в лице Генерального агента заключает сделки купли-продажи Облигаций с покупателями путем выставления встречных адресных заявок с указанием количества Облигаций, которые будут проданы покупателям, </w:t>
      </w:r>
      <w:r>
        <w:rPr>
          <w:rFonts w:ascii="PT Astra Serif" w:eastAsia="PT Astra Serif" w:hAnsi="PT Astra Serif" w:cs="PT Astra Serif"/>
          <w:sz w:val="28"/>
          <w:szCs w:val="28"/>
        </w:rPr>
        <w:t>согласно порядку, установленному настоящими Условиями эмиссии, Решением об эмиссии и правилами проведения торгов Организатора торговли.</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Информация о размере процент</w:t>
      </w:r>
      <w:r>
        <w:rPr>
          <w:rFonts w:ascii="PT Astra Serif" w:eastAsia="PT Astra Serif" w:hAnsi="PT Astra Serif" w:cs="PT Astra Serif"/>
          <w:sz w:val="28"/>
          <w:szCs w:val="28"/>
        </w:rPr>
        <w:t>ной ставки купонного дохода на первый купонный период при размещении Облигаций путем Сбора адресных заявок по купону размещается на официальном сайте Эмитента в информационно-телекоммуникационной сети Интернет не позднее даты начала размещения Облигаций. И</w:t>
      </w:r>
      <w:r>
        <w:rPr>
          <w:rFonts w:ascii="PT Astra Serif" w:eastAsia="PT Astra Serif" w:hAnsi="PT Astra Serif" w:cs="PT Astra Serif"/>
          <w:sz w:val="28"/>
          <w:szCs w:val="28"/>
        </w:rPr>
        <w:t>нформация о цене размещения при размещении Облигаций путем Сбора адресных заявок по цене размещается на официальном сайте Эмитента в информационно-телекоммуникационной сети Интернет не позднее чем за 2 (два) рабочих дня до даты начала размещения Облигаций.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18. Размещение Облигаций, р</w:t>
      </w:r>
      <w:r>
        <w:rPr>
          <w:rFonts w:ascii="PT Astra Serif" w:eastAsia="PT Astra Serif" w:hAnsi="PT Astra Serif" w:cs="PT Astra Serif"/>
          <w:sz w:val="28"/>
          <w:szCs w:val="28"/>
        </w:rPr>
        <w:t>анее не размещенных в предусмотренном пунктами 15-17 настоящих Условий эмиссии порядке, может осуществляться в соответствии с законодательством Российской Федерации, настоящими Условиями эмиссии, Решением об эмиссии путем заключения сделок купли-продажи ме</w:t>
      </w:r>
      <w:r>
        <w:rPr>
          <w:rFonts w:ascii="PT Astra Serif" w:eastAsia="PT Astra Serif" w:hAnsi="PT Astra Serif" w:cs="PT Astra Serif"/>
          <w:sz w:val="28"/>
          <w:szCs w:val="28"/>
        </w:rPr>
        <w:t>жду Эмитентом (Генеральным агентом) и первыми владельцами Облигаций по цене/ценам, указанной/указанным Эмитентом, на торгах, проводимых у Организатора торговли, в порядке, предусмотренном правилами проведения торгов по ценным бумагам Организатора торговли.</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19. Начиная со дня, следующего за датой начала размещения</w:t>
      </w:r>
      <w:r>
        <w:rPr>
          <w:rFonts w:ascii="PT Astra Serif" w:eastAsia="PT Astra Serif" w:hAnsi="PT Astra Serif" w:cs="PT Astra Serif"/>
          <w:sz w:val="28"/>
          <w:szCs w:val="28"/>
        </w:rPr>
        <w:t xml:space="preserve"> Облигаций, покупатель при совершении сделки купли-продажи Облигаций уплачивает Эмитенту в лице Генерального агента цену Облигации, а также уплачивает накопленный купонный доход по Облигациям, рассчитанный на дату совершения сделки по формуле, указанной в </w:t>
      </w:r>
      <w:hyperlink r:id="rId6" w:tooltip="https://login.consultant.ru/link/?req=doc&amp;base=RLAW049&amp;n=175638&amp;dst=100096" w:history="1">
        <w:r>
          <w:rPr>
            <w:rFonts w:ascii="PT Astra Serif" w:eastAsia="PT Astra Serif" w:hAnsi="PT Astra Serif" w:cs="PT Astra Serif"/>
            <w:sz w:val="28"/>
            <w:szCs w:val="28"/>
          </w:rPr>
          <w:t>пункте</w:t>
        </w:r>
      </w:hyperlink>
      <w:r>
        <w:rPr>
          <w:rFonts w:ascii="PT Astra Serif" w:eastAsia="PT Astra Serif" w:hAnsi="PT Astra Serif" w:cs="PT Astra Serif"/>
          <w:sz w:val="28"/>
          <w:szCs w:val="28"/>
        </w:rPr>
        <w:t> 25 настоящих Условий эмиссии.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20. Обращение О</w:t>
      </w:r>
      <w:r>
        <w:rPr>
          <w:rFonts w:ascii="PT Astra Serif" w:eastAsia="PT Astra Serif" w:hAnsi="PT Astra Serif" w:cs="PT Astra Serif"/>
          <w:sz w:val="28"/>
          <w:szCs w:val="28"/>
        </w:rPr>
        <w:t>блигаций на вторичном рынке осуществляется путем заключения гражданско-правовых сделок как у Организатора торговли, так и вне Организатора торговли в соответствии с законодательством Российской Федерации, настоящими Условиями эмиссии и Решением об эмиссии.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21. Все расчеты по Облигациям производятся в валюте Российской Федерации.</w:t>
      </w:r>
    </w:p>
    <w:p>
      <w:pPr>
        <w:pStyle w:val="ConsPlusNormal"/>
        <w:ind w:firstLine="709"/>
        <w:jc w:val="both"/>
        <w:rPr>
          <w:rFonts w:ascii="PT Astra Serif" w:hAnsi="PT Astra Serif" w:cs="PT Astra Serif"/>
          <w:sz w:val="28"/>
          <w:szCs w:val="28"/>
        </w:rPr>
      </w:pPr>
    </w:p>
    <w:p>
      <w:pPr>
        <w:pStyle w:val="ConsPlusNormal"/>
        <w:ind w:left="567" w:firstLine="709"/>
        <w:jc w:val="center"/>
        <w:outlineLvl w:val="1"/>
        <w:rPr>
          <w:rFonts w:ascii="PT Astra Serif" w:hAnsi="PT Astra Serif" w:cs="PT Astra Serif"/>
          <w:sz w:val="28"/>
          <w:szCs w:val="28"/>
        </w:rPr>
      </w:pPr>
      <w:r>
        <w:rPr>
          <w:rFonts w:ascii="PT Astra Serif" w:eastAsia="PT Astra Serif" w:hAnsi="PT Astra Serif" w:cs="PT Astra Serif"/>
          <w:sz w:val="28"/>
          <w:szCs w:val="28"/>
        </w:rPr>
        <w:t>3. Получение доходов по облигациям и погашение облигаций</w:t>
      </w:r>
    </w:p>
    <w:p>
      <w:pPr>
        <w:pStyle w:val="ConsPlusNormal"/>
        <w:ind w:left="567" w:firstLine="709"/>
        <w:jc w:val="center"/>
        <w:outlineLvl w:val="1"/>
        <w:rPr>
          <w:rFonts w:ascii="PT Astra Serif" w:hAnsi="PT Astra Serif" w:cs="PT Astra Serif"/>
          <w:sz w:val="28"/>
          <w:szCs w:val="28"/>
        </w:rPr>
      </w:pP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22. Доходом по Облигациям является фиксированный купонный доход, а также разница между ценой реализации (погашения) и ценой покупки Облигаций. Купонный доход как абсолютная величина в рублях определяется исходя из размера ставки купонного дохода.</w:t>
      </w:r>
    </w:p>
    <w:p>
      <w:pPr>
        <w:pStyle w:val="ConsPlusNormal"/>
        <w:ind w:firstLine="709"/>
        <w:jc w:val="both"/>
        <w:rPr>
          <w:rFonts w:ascii="PT Astra Serif" w:hAnsi="PT Astra Serif" w:cs="PT Astra Serif"/>
          <w:sz w:val="28"/>
          <w:szCs w:val="28"/>
        </w:rPr>
      </w:pPr>
      <w:bookmarkStart w:id="4" w:name="undefined"/>
      <w:bookmarkEnd w:id="4"/>
      <w:r>
        <w:rPr>
          <w:rFonts w:ascii="PT Astra Serif" w:eastAsia="PT Astra Serif" w:hAnsi="PT Astra Serif" w:cs="PT Astra Serif"/>
          <w:sz w:val="28"/>
          <w:szCs w:val="28"/>
        </w:rPr>
        <w:t xml:space="preserve">23. В зависимости от выбранного Эмитентом в Решении об эмиссии конкретного способа размещения Облигаций ставки купонного дохода по всем купонным периодам устанавливаются Эмитентом в Решении об эмиссии или ставка </w:t>
      </w:r>
      <w:r>
        <w:rPr>
          <w:rFonts w:ascii="PT Astra Serif" w:eastAsia="PT Astra Serif" w:hAnsi="PT Astra Serif" w:cs="PT Astra Serif"/>
          <w:sz w:val="28"/>
          <w:szCs w:val="28"/>
        </w:rPr>
        <w:t>купонного дохода по первому купонному периоду определяется на основе проведения Конкурса у Организатора торговли в соответствии с установленными им правилами, при этом ставки купонного дохода по следующим купонным периодам фиксируются в Решении об эмиссии.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Даты выплат купонного дохода устанавливаются Эмитентом в Решении об эмиссии.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24. Величина купонного дохода в рублях на одну облигацию определяется по формуле:</w:t>
      </w:r>
    </w:p>
    <w:p>
      <w:pPr>
        <w:pStyle w:val="ConsPlusNormal"/>
        <w:ind w:firstLine="709"/>
        <w:jc w:val="center"/>
        <w:rPr>
          <w:rFonts w:ascii="PT Astra Serif" w:hAnsi="PT Astra Serif" w:cs="PT Astra Serif"/>
          <w:sz w:val="28"/>
          <w:szCs w:val="28"/>
        </w:rPr>
      </w:pPr>
      <w:r>
        <w:rPr>
          <w:rFonts w:ascii="PT Astra Serif" w:eastAsia="PT Astra Serif" w:hAnsi="PT Astra Serif" w:cs="PT Astra Serif"/>
          <w:sz w:val="28"/>
          <w:szCs w:val="28"/>
          <w:lang w:val="en-US"/>
        </w:rPr>
        <w:t>Cj</w:t>
      </w:r>
      <w:r>
        <w:rPr>
          <w:rFonts w:ascii="PT Astra Serif" w:eastAsia="PT Astra Serif" w:hAnsi="PT Astra Serif" w:cs="PT Astra Serif"/>
          <w:sz w:val="28"/>
          <w:szCs w:val="28"/>
        </w:rPr>
        <w:t xml:space="preserve"> = </w:t>
      </w:r>
      <w:r>
        <w:rPr>
          <w:rFonts w:ascii="PT Astra Serif" w:eastAsia="PT Astra Serif" w:hAnsi="PT Astra Serif" w:cs="PT Astra Serif"/>
          <w:sz w:val="28"/>
          <w:szCs w:val="28"/>
          <w:lang w:val="en-US"/>
        </w:rPr>
        <w:t>Nj</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8"/>
          <w:lang w:val="en-US"/>
        </w:rPr>
        <w:t>x</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8"/>
          <w:lang w:val="en-US"/>
        </w:rPr>
        <w:t>Rj</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8"/>
          <w:lang w:val="en-US"/>
        </w:rPr>
        <w:t>x</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8"/>
          <w:lang w:val="en-US"/>
        </w:rPr>
        <w:t>Tj</w:t>
      </w:r>
      <w:r>
        <w:rPr>
          <w:rFonts w:ascii="PT Astra Serif" w:eastAsia="PT Astra Serif" w:hAnsi="PT Astra Serif" w:cs="PT Astra Serif"/>
          <w:sz w:val="28"/>
          <w:szCs w:val="28"/>
        </w:rPr>
        <w:t xml:space="preserve"> / (365 </w:t>
      </w:r>
      <w:r>
        <w:rPr>
          <w:rFonts w:ascii="PT Astra Serif" w:eastAsia="PT Astra Serif" w:hAnsi="PT Astra Serif" w:cs="PT Astra Serif"/>
          <w:sz w:val="28"/>
          <w:szCs w:val="28"/>
          <w:lang w:val="en-US"/>
        </w:rPr>
        <w:t>x</w:t>
      </w:r>
      <w:r>
        <w:rPr>
          <w:rFonts w:ascii="PT Astra Serif" w:eastAsia="PT Astra Serif" w:hAnsi="PT Astra Serif" w:cs="PT Astra Serif"/>
          <w:sz w:val="28"/>
          <w:szCs w:val="28"/>
        </w:rPr>
        <w:t xml:space="preserve"> 100%), где:</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j - порядковый номер купонного периода;</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Cj</w:t>
      </w:r>
      <w:r>
        <w:rPr>
          <w:rFonts w:ascii="PT Astra Serif" w:eastAsia="PT Astra Serif" w:hAnsi="PT Astra Serif" w:cs="PT Astra Serif"/>
          <w:sz w:val="28"/>
          <w:szCs w:val="28"/>
        </w:rPr>
        <w:t xml:space="preserve"> - величина купонного дохода за j-й купонный период, в рублях;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Nj</w:t>
      </w:r>
      <w:r>
        <w:rPr>
          <w:rFonts w:ascii="PT Astra Serif" w:eastAsia="PT Astra Serif" w:hAnsi="PT Astra Serif" w:cs="PT Astra Serif"/>
          <w:sz w:val="28"/>
          <w:szCs w:val="28"/>
        </w:rPr>
        <w:t xml:space="preserve"> — номинальная стоимость (непогашенная часть номинальной стоимости) одной Облигации, в рублях;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Rj</w:t>
      </w:r>
      <w:r>
        <w:rPr>
          <w:rFonts w:ascii="PT Astra Serif" w:eastAsia="PT Astra Serif" w:hAnsi="PT Astra Serif" w:cs="PT Astra Serif"/>
          <w:sz w:val="28"/>
          <w:szCs w:val="28"/>
        </w:rPr>
        <w:t xml:space="preserve"> - ставка купонного дохода по j-</w:t>
      </w:r>
      <w:r>
        <w:rPr>
          <w:rFonts w:ascii="PT Astra Serif" w:eastAsia="PT Astra Serif" w:hAnsi="PT Astra Serif" w:cs="PT Astra Serif"/>
          <w:sz w:val="28"/>
          <w:szCs w:val="28"/>
        </w:rPr>
        <w:t>му</w:t>
      </w:r>
      <w:r>
        <w:rPr>
          <w:rFonts w:ascii="PT Astra Serif" w:eastAsia="PT Astra Serif" w:hAnsi="PT Astra Serif" w:cs="PT Astra Serif"/>
          <w:sz w:val="28"/>
          <w:szCs w:val="28"/>
        </w:rPr>
        <w:t xml:space="preserve"> купонному периоду, в процентах годовых;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Tj</w:t>
      </w:r>
      <w:r>
        <w:rPr>
          <w:rFonts w:ascii="PT Astra Serif" w:eastAsia="PT Astra Serif" w:hAnsi="PT Astra Serif" w:cs="PT Astra Serif"/>
          <w:sz w:val="28"/>
          <w:szCs w:val="28"/>
        </w:rPr>
        <w:t xml:space="preserve"> – длительность j-</w:t>
      </w:r>
      <w:r>
        <w:rPr>
          <w:rFonts w:ascii="PT Astra Serif" w:eastAsia="PT Astra Serif" w:hAnsi="PT Astra Serif" w:cs="PT Astra Serif"/>
          <w:sz w:val="28"/>
          <w:szCs w:val="28"/>
        </w:rPr>
        <w:t>го</w:t>
      </w:r>
      <w:r>
        <w:rPr>
          <w:rFonts w:ascii="PT Astra Serif" w:eastAsia="PT Astra Serif" w:hAnsi="PT Astra Serif" w:cs="PT Astra Serif"/>
          <w:sz w:val="28"/>
          <w:szCs w:val="28"/>
        </w:rPr>
        <w:t xml:space="preserve"> купонного периода, дней.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Сумма выплаты по купонному доходу в расчете на одну Облигацию определяется с точностью до одной копейки (округление производи</w:t>
      </w:r>
      <w:r>
        <w:rPr>
          <w:rFonts w:ascii="PT Astra Serif" w:eastAsia="PT Astra Serif" w:hAnsi="PT Astra Serif" w:cs="PT Astra Serif"/>
          <w:sz w:val="28"/>
          <w:szCs w:val="28"/>
        </w:rPr>
        <w:t>тся по правилу математического округления, а именно: в случае если третий знак после запятой больше или равен 5, второй знак после запятой увеличивается на единицу, в случае если третий знак после запятой меньше 5, второй знак после запятой не изменяется).</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Даты начала и окончания купонных периодов, длительность купонных периодов устанавливаются в Решении об эмиссии.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25. При обращении Облигаций на вторичном рынке, а также при размещении Облигаций в период с даты, следующей за датой начала ра</w:t>
      </w:r>
      <w:r>
        <w:rPr>
          <w:rFonts w:ascii="PT Astra Serif" w:eastAsia="PT Astra Serif" w:hAnsi="PT Astra Serif" w:cs="PT Astra Serif"/>
          <w:sz w:val="28"/>
          <w:szCs w:val="28"/>
        </w:rPr>
        <w:t>змещения Облигаций, до даты окончания размещения Облигаций при совершении сделок купли-продажи Облигаций покупатель уплачивает продавцу цену Облигаций, а также накопленный купонный доход на одну Облигацию, который рассчитывается на текущую дату по формуле:</w:t>
      </w:r>
    </w:p>
    <w:p>
      <w:pPr>
        <w:pStyle w:val="ConsPlusNormal"/>
        <w:ind w:firstLine="709"/>
        <w:jc w:val="center"/>
        <w:rPr>
          <w:rFonts w:ascii="PT Astra Serif" w:hAnsi="PT Astra Serif" w:cs="PT Astra Serif"/>
          <w:sz w:val="28"/>
          <w:szCs w:val="28"/>
        </w:rPr>
      </w:pPr>
      <w:r>
        <w:rPr>
          <w:rFonts w:ascii="PT Astra Serif" w:eastAsia="PT Astra Serif" w:hAnsi="PT Astra Serif" w:cs="PT Astra Serif"/>
          <w:sz w:val="28"/>
          <w:szCs w:val="28"/>
        </w:rPr>
        <w:t xml:space="preserve">НКД = </w:t>
      </w:r>
      <w:r>
        <w:rPr>
          <w:rFonts w:ascii="PT Astra Serif" w:eastAsia="PT Astra Serif" w:hAnsi="PT Astra Serif" w:cs="PT Astra Serif"/>
          <w:sz w:val="28"/>
          <w:szCs w:val="28"/>
        </w:rPr>
        <w:t>Nj</w:t>
      </w:r>
      <w:r>
        <w:rPr>
          <w:rFonts w:ascii="PT Astra Serif" w:eastAsia="PT Astra Serif" w:hAnsi="PT Astra Serif" w:cs="PT Astra Serif"/>
          <w:sz w:val="28"/>
          <w:szCs w:val="28"/>
        </w:rPr>
        <w:t xml:space="preserve"> x </w:t>
      </w:r>
      <w:r>
        <w:rPr>
          <w:rFonts w:ascii="PT Astra Serif" w:eastAsia="PT Astra Serif" w:hAnsi="PT Astra Serif" w:cs="PT Astra Serif"/>
          <w:sz w:val="28"/>
          <w:szCs w:val="28"/>
        </w:rPr>
        <w:t>Rj</w:t>
      </w:r>
      <w:r>
        <w:rPr>
          <w:rFonts w:ascii="PT Astra Serif" w:eastAsia="PT Astra Serif" w:hAnsi="PT Astra Serif" w:cs="PT Astra Serif"/>
          <w:sz w:val="28"/>
          <w:szCs w:val="28"/>
        </w:rPr>
        <w:t xml:space="preserve"> х ((Т - T(j-1)) / 365) / 100%, где:</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НКД - накопленный купонный доход на одну Облигацию, в рублях;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j - порядковый номер купонного периода;</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Nj</w:t>
      </w:r>
      <w:r>
        <w:rPr>
          <w:rFonts w:ascii="PT Astra Serif" w:eastAsia="PT Astra Serif" w:hAnsi="PT Astra Serif" w:cs="PT Astra Serif"/>
          <w:sz w:val="28"/>
          <w:szCs w:val="28"/>
        </w:rPr>
        <w:t xml:space="preserve"> — номинальная стоимость (непогашенная часть номинальной стоимости) одной Облигации, в рублях;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Rj</w:t>
      </w:r>
      <w:r>
        <w:rPr>
          <w:rFonts w:ascii="PT Astra Serif" w:eastAsia="PT Astra Serif" w:hAnsi="PT Astra Serif" w:cs="PT Astra Serif"/>
          <w:sz w:val="28"/>
          <w:szCs w:val="28"/>
        </w:rPr>
        <w:t xml:space="preserve"> - ставка купонного дохода по j-</w:t>
      </w:r>
      <w:r>
        <w:rPr>
          <w:rFonts w:ascii="PT Astra Serif" w:eastAsia="PT Astra Serif" w:hAnsi="PT Astra Serif" w:cs="PT Astra Serif"/>
          <w:sz w:val="28"/>
          <w:szCs w:val="28"/>
        </w:rPr>
        <w:t>му</w:t>
      </w:r>
      <w:r>
        <w:rPr>
          <w:rFonts w:ascii="PT Astra Serif" w:eastAsia="PT Astra Serif" w:hAnsi="PT Astra Serif" w:cs="PT Astra Serif"/>
          <w:sz w:val="28"/>
          <w:szCs w:val="28"/>
        </w:rPr>
        <w:t xml:space="preserve"> купонному периоду, в процентах годовых;</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T(j-1) - дата окончания предыдущего купонного периода (для первого купонного периода - дата начала размещения Облигаций);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T - дата, на которую рассчитывается НКД внутри j-</w:t>
      </w:r>
      <w:r>
        <w:rPr>
          <w:rFonts w:ascii="PT Astra Serif" w:eastAsia="PT Astra Serif" w:hAnsi="PT Astra Serif" w:cs="PT Astra Serif"/>
          <w:sz w:val="28"/>
          <w:szCs w:val="28"/>
        </w:rPr>
        <w:t>го</w:t>
      </w:r>
      <w:r>
        <w:rPr>
          <w:rFonts w:ascii="PT Astra Serif" w:eastAsia="PT Astra Serif" w:hAnsi="PT Astra Serif" w:cs="PT Astra Serif"/>
          <w:sz w:val="28"/>
          <w:szCs w:val="28"/>
        </w:rPr>
        <w:t xml:space="preserve"> купонного периода.</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Сумма выплаты по накопленному купонному доходу в расчете на одну Облигацию определяется с точностью до одной копейки (округление производи</w:t>
      </w:r>
      <w:r>
        <w:rPr>
          <w:rFonts w:ascii="PT Astra Serif" w:eastAsia="PT Astra Serif" w:hAnsi="PT Astra Serif" w:cs="PT Astra Serif"/>
          <w:sz w:val="28"/>
          <w:szCs w:val="28"/>
        </w:rPr>
        <w:t>тся по правилу математического округления, а именно: в случае если третий знак после запятой больше или равен 5, второй знак после запятой увеличивается на единицу, в случае если третий знак после запятой меньше 5, второй знак после запятой не изменяется).</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26. Владельцы и иные лица, осуществляющие в соответствии с законодательством Российской Федерации права по Облигациям, получают </w:t>
      </w:r>
      <w:r>
        <w:rPr>
          <w:rFonts w:ascii="PT Astra Serif" w:eastAsia="PT Astra Serif" w:hAnsi="PT Astra Serif" w:cs="PT Astra Serif"/>
          <w:sz w:val="28"/>
          <w:szCs w:val="28"/>
        </w:rPr>
        <w:t>доходы в денежной форме по Облига</w:t>
      </w:r>
      <w:r>
        <w:rPr>
          <w:rFonts w:ascii="PT Astra Serif" w:eastAsia="PT Astra Serif" w:hAnsi="PT Astra Serif" w:cs="PT Astra Serif"/>
          <w:sz w:val="28"/>
          <w:szCs w:val="28"/>
        </w:rPr>
        <w:t>циям через депозитарий, осуществляющий учет прав на Облигации, депонентами которого они являются. Депозитарный договор между депозитарием, осуществляющим учет прав на Облигации, и депонентом должен содержать порядок передачи депоненту выплат по Облигациям.</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Эми</w:t>
      </w:r>
      <w:r>
        <w:rPr>
          <w:rFonts w:ascii="PT Astra Serif" w:eastAsia="PT Astra Serif" w:hAnsi="PT Astra Serif" w:cs="PT Astra Serif"/>
          <w:sz w:val="28"/>
          <w:szCs w:val="28"/>
        </w:rPr>
        <w:t>тент исполняет обязанность по осуществлению выплат по Облигациям путем перечисления денежных средств Уполномоченному депозитарию. Указанная обязанность считается исполненной Эмитентом с даты поступления денежных средств на счет Уполномоченного депозитария.</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Выплаты купонного дохода по Облигациям осуществляются в соответствии с порядком, установленным настоящими Условиями эмиссии, Решением об эмиссии и законодательством Российской Федерации.</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Купонный доход по Облигациям, не размещенным на дату выплаты купонного дохода, или по Облигациям, переведенным на счет депо Эмитента в Уполномоченном депозитарии, не начисляется и не выплачивается.</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27. Погашение номинальной стоимости Облигаций осуществляется частями (далее - Амортизация долга) в даты и в размерах, установленных в Решении об эмиссии и совпадающие с датами выплаты купонного дохода по Облигациям.</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Владельцы Облигаций и иные лица, осуществляющие в соответствии с законодательством Российской Федерации права по Облигациям, получают выплаты погашаемой части номинальной стоимости Облиг</w:t>
      </w:r>
      <w:r>
        <w:rPr>
          <w:rFonts w:ascii="PT Astra Serif" w:eastAsia="PT Astra Serif" w:hAnsi="PT Astra Serif" w:cs="PT Astra Serif"/>
          <w:sz w:val="28"/>
          <w:szCs w:val="28"/>
        </w:rPr>
        <w:t>аций через депозитарий, осуществляющий учет прав на Облигации, депонентами которого они являются. Депозитарный договор между депозитарием, осуществляющим учет прав на Облигации, и депонентом должен содержать порядок передачи депоненту выплат по Облигациям.</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Эмитент исполняет обязанность по осуще</w:t>
      </w:r>
      <w:r>
        <w:rPr>
          <w:rFonts w:ascii="PT Astra Serif" w:eastAsia="PT Astra Serif" w:hAnsi="PT Astra Serif" w:cs="PT Astra Serif"/>
          <w:sz w:val="28"/>
          <w:szCs w:val="28"/>
        </w:rPr>
        <w:t>ствлению выплат погашаемой части номинальной стоимости Облигаций путем перечисления денежных средств Уполномоченному депозитарию. Указанная обязанность считается исполненной Эмитентом с даты поступления денежных средств на счет Уполномоченного депозитария.</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Выплаты погашаемой части номинальной стоимости Облигаций осуществляются в соответствии с порядком, установленным настоящими Условиями эмиссии, Решением об эмиссии и законодательством Российской Федерации.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28. Датой погашения выпуска Облигаций является дата выплаты последней непогашенной части номинальной стоимости Облигаций.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29. Если дата выплаты купонного дохода по Облигациям и (или) дата выплаты погашаемой части номинальной стоимости Облигаций выпадают на выходной день, </w:t>
      </w:r>
      <w:r>
        <w:rPr>
          <w:rFonts w:ascii="PT Astra Serif" w:eastAsia="PT Astra Serif" w:hAnsi="PT Astra Serif" w:cs="PT Astra Serif"/>
          <w:sz w:val="28"/>
          <w:szCs w:val="28"/>
        </w:rPr>
        <w:t>праздничный день или иной день, не являющийся рабочим в Российской Федерации, то выплаты осуществляются в первый рабочий день, следующий за датой выплаты купонного дохода по Облигациям и (или) датой выплаты погашаемой части номинальной стоимости Облигаций.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Владельцы Облигаций не имеют права требовать начисления процентов </w:t>
      </w:r>
      <w:r>
        <w:rPr>
          <w:rFonts w:ascii="PT Astra Serif" w:eastAsia="PT Astra Serif" w:hAnsi="PT Astra Serif" w:cs="PT Astra Serif"/>
          <w:sz w:val="28"/>
          <w:szCs w:val="28"/>
        </w:rPr>
        <w:t>или какой-либо иной компенсации за такую задержку в платеже.</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30. Налогообложение доходов от операций с Облигациями осуществляется в соответствии с законодательством Российской Федерации.</w:t>
      </w:r>
    </w:p>
    <w:p>
      <w:pPr>
        <w:pStyle w:val="ConsPlusNormal"/>
        <w:ind w:firstLine="709"/>
        <w:jc w:val="both"/>
        <w:rPr>
          <w:rFonts w:ascii="PT Astra Serif" w:hAnsi="PT Astra Serif" w:cs="PT Astra Serif"/>
          <w:sz w:val="28"/>
          <w:szCs w:val="28"/>
        </w:rPr>
      </w:pPr>
    </w:p>
    <w:p>
      <w:pPr>
        <w:pStyle w:val="ConsPlusNormal"/>
        <w:ind w:firstLine="709"/>
        <w:jc w:val="center"/>
        <w:rPr>
          <w:rFonts w:ascii="PT Astra Serif" w:hAnsi="PT Astra Serif" w:cs="PT Astra Serif"/>
          <w:sz w:val="28"/>
          <w:szCs w:val="28"/>
        </w:rPr>
      </w:pPr>
      <w:r>
        <w:rPr>
          <w:rFonts w:ascii="PT Astra Serif" w:eastAsia="PT Astra Serif" w:hAnsi="PT Astra Serif" w:cs="PT Astra Serif"/>
          <w:sz w:val="28"/>
          <w:szCs w:val="28"/>
        </w:rPr>
        <w:t>4. Выкуп облигаций, выпуск выкупленных</w:t>
      </w:r>
    </w:p>
    <w:p>
      <w:pPr>
        <w:pStyle w:val="ConsPlusNormal"/>
        <w:ind w:firstLine="709"/>
        <w:jc w:val="center"/>
        <w:rPr>
          <w:rFonts w:ascii="PT Astra Serif" w:hAnsi="PT Astra Serif" w:cs="PT Astra Serif"/>
          <w:sz w:val="28"/>
          <w:szCs w:val="28"/>
        </w:rPr>
      </w:pPr>
      <w:r>
        <w:rPr>
          <w:rFonts w:ascii="PT Astra Serif" w:eastAsia="PT Astra Serif" w:hAnsi="PT Astra Serif" w:cs="PT Astra Serif"/>
          <w:sz w:val="28"/>
          <w:szCs w:val="28"/>
        </w:rPr>
        <w:t>облигаций в последующее обращение</w:t>
      </w:r>
    </w:p>
    <w:p>
      <w:pPr>
        <w:pStyle w:val="ConsPlusNormal"/>
        <w:ind w:firstLine="709"/>
        <w:jc w:val="both"/>
        <w:rPr>
          <w:rFonts w:ascii="PT Astra Serif" w:hAnsi="PT Astra Serif" w:cs="PT Astra Serif"/>
          <w:sz w:val="28"/>
          <w:szCs w:val="28"/>
        </w:rPr>
      </w:pPr>
    </w:p>
    <w:p>
      <w:pPr>
        <w:pStyle w:val="ConsPlusNormal"/>
        <w:ind w:firstLine="708"/>
        <w:jc w:val="both"/>
        <w:rPr>
          <w:rFonts w:ascii="PT Astra Serif" w:hAnsi="PT Astra Serif" w:cs="PT Astra Serif"/>
          <w:sz w:val="28"/>
          <w:szCs w:val="28"/>
        </w:rPr>
      </w:pPr>
      <w:r>
        <w:rPr>
          <w:rFonts w:ascii="PT Astra Serif" w:eastAsia="PT Astra Serif" w:hAnsi="PT Astra Serif" w:cs="PT Astra Serif"/>
          <w:sz w:val="28"/>
          <w:szCs w:val="28"/>
        </w:rPr>
        <w:t>31. Облигации могут быть выкуп</w:t>
      </w:r>
      <w:r>
        <w:rPr>
          <w:rFonts w:ascii="PT Astra Serif" w:eastAsia="PT Astra Serif" w:hAnsi="PT Astra Serif" w:cs="PT Astra Serif"/>
          <w:sz w:val="28"/>
          <w:szCs w:val="28"/>
        </w:rPr>
        <w:t>лены Эмитентом до срока их погашения с возможностью их последующего обращения с соблюдением требований (в том числе по определению цены выкупа), установленных законодательством Российской Федерации, в соответствии с Условиями эмиссии и Решением об эмиссии.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32. Выкуп Облигаций может осуществля</w:t>
      </w:r>
      <w:r>
        <w:rPr>
          <w:rFonts w:ascii="PT Astra Serif" w:eastAsia="PT Astra Serif" w:hAnsi="PT Astra Serif" w:cs="PT Astra Serif"/>
          <w:sz w:val="28"/>
          <w:szCs w:val="28"/>
        </w:rPr>
        <w:t xml:space="preserve">ться путем заключения сделок купли-продажи Облигаций между Эмитентом в лице Генерального агента, действующего по поручению и за счет Эмитента, и владельцами Облигаций у Организатора торговли в соответствии с нормативными документами Организатора торговли. </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33. Выкуп Облигаций осуществляется Эмитентом по цене, определенной с учетом теку</w:t>
      </w:r>
      <w:r>
        <w:rPr>
          <w:rFonts w:ascii="PT Astra Serif" w:eastAsia="PT Astra Serif" w:hAnsi="PT Astra Serif" w:cs="PT Astra Serif"/>
          <w:sz w:val="28"/>
          <w:szCs w:val="28"/>
        </w:rPr>
        <w:t>щей рыночной цены и объемов предложения и спроса на Облигации, за счет средств областного бюджета Томской области в соответствии с параметрами, установленными законом Томской области об областном бюджете на соответствующий финансовый год и плановый период.</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Порядок выкупа размещенных Облигаций до даты их погашения с возможностью их последующего обращения устанавливается в Решении об эмиссии.</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34. Выкупленные Эмитентом Облигации могут быть выпущены в последующее обращение в течение всего срока обращения Облигаций.</w:t>
      </w:r>
    </w:p>
    <w:p>
      <w:pPr>
        <w:pStyle w:val="ConsPlusNormal"/>
        <w:ind w:firstLine="709"/>
        <w:jc w:val="both"/>
        <w:rPr>
          <w:rFonts w:ascii="PT Astra Serif" w:hAnsi="PT Astra Serif" w:cs="PT Astra Serif"/>
          <w:sz w:val="28"/>
          <w:szCs w:val="28"/>
        </w:rPr>
      </w:pPr>
    </w:p>
    <w:p>
      <w:pPr>
        <w:pStyle w:val="ConsPlusNormal"/>
        <w:ind w:left="567" w:firstLine="709"/>
        <w:jc w:val="center"/>
        <w:outlineLvl w:val="1"/>
        <w:rPr>
          <w:rFonts w:ascii="PT Astra Serif" w:hAnsi="PT Astra Serif" w:cs="PT Astra Serif"/>
          <w:sz w:val="28"/>
          <w:szCs w:val="28"/>
        </w:rPr>
      </w:pPr>
      <w:r>
        <w:rPr>
          <w:rFonts w:ascii="PT Astra Serif" w:eastAsia="PT Astra Serif" w:hAnsi="PT Astra Serif" w:cs="PT Astra Serif"/>
          <w:sz w:val="28"/>
          <w:szCs w:val="28"/>
        </w:rPr>
        <w:t>5. Информация об эмитенте</w:t>
      </w:r>
    </w:p>
    <w:p>
      <w:pPr>
        <w:pStyle w:val="ConsPlusNormal"/>
        <w:ind w:firstLine="709"/>
        <w:jc w:val="both"/>
        <w:rPr>
          <w:rFonts w:ascii="PT Astra Serif" w:hAnsi="PT Astra Serif" w:cs="PT Astra Serif"/>
          <w:sz w:val="28"/>
          <w:szCs w:val="28"/>
        </w:rPr>
      </w:pPr>
    </w:p>
    <w:p>
      <w:pPr>
        <w:ind w:firstLine="708"/>
        <w:jc w:val="both"/>
        <w:rPr>
          <w:rFonts w:ascii="PT Astra Serif" w:hAnsi="PT Astra Serif" w:cs="PT Astra Serif"/>
          <w:sz w:val="28"/>
          <w:szCs w:val="28"/>
        </w:rPr>
      </w:pPr>
      <w:r>
        <w:rPr>
          <w:rFonts w:ascii="PT Astra Serif" w:eastAsia="PT Astra Serif" w:hAnsi="PT Astra Serif" w:cs="PT Astra Serif"/>
          <w:sz w:val="28"/>
          <w:szCs w:val="28"/>
        </w:rPr>
        <w:t xml:space="preserve">35. В соответствии с </w:t>
      </w:r>
      <w:hyperlink r:id="rId7" w:tooltip="consultantplus://offline/ref=2EBF21FFDA401284AC5476D743A9072C55839A56CB0626B4476481AFB2130A68P0ACI" w:history="1">
        <w:r>
          <w:rPr>
            <w:rFonts w:ascii="PT Astra Serif" w:eastAsia="PT Astra Serif" w:hAnsi="PT Astra Serif" w:cs="PT Astra Serif"/>
            <w:sz w:val="28"/>
            <w:szCs w:val="28"/>
          </w:rPr>
          <w:t>Законом</w:t>
        </w:r>
      </w:hyperlink>
      <w:r>
        <w:rPr>
          <w:rFonts w:ascii="PT Astra Serif" w:eastAsia="PT Astra Serif" w:hAnsi="PT Astra Serif" w:cs="PT Astra Serif"/>
          <w:sz w:val="28"/>
          <w:szCs w:val="28"/>
        </w:rPr>
        <w:t xml:space="preserve"> Томской области от 29.12.2025 № 165-ОЗ «Об областном бюджете на 2026 год и на плановый период 2027 и 2028 годов» установлены следующие параметры областного бюджета на 2026 год:</w:t>
      </w:r>
    </w:p>
    <w:p>
      <w:pPr>
        <w:ind w:left="709"/>
        <w:jc w:val="both"/>
        <w:rPr>
          <w:rFonts w:ascii="PT Astra Serif" w:hAnsi="PT Astra Serif" w:cs="PT Astra Serif"/>
          <w:sz w:val="28"/>
          <w:szCs w:val="28"/>
        </w:rPr>
      </w:pPr>
      <w:r>
        <w:rPr>
          <w:rFonts w:ascii="PT Astra Serif" w:eastAsia="PT Astra Serif" w:hAnsi="PT Astra Serif" w:cs="PT Astra Serif"/>
          <w:sz w:val="28"/>
          <w:szCs w:val="28"/>
        </w:rPr>
        <w:t>общий объем доходов бюджета –  127 208 901,7 тыс. рублей;</w:t>
      </w:r>
    </w:p>
    <w:p>
      <w:pPr>
        <w:ind w:left="709"/>
        <w:rPr>
          <w:rFonts w:ascii="PT Astra Serif" w:hAnsi="PT Astra Serif" w:cs="PT Astra Serif"/>
          <w:sz w:val="28"/>
          <w:szCs w:val="28"/>
        </w:rPr>
      </w:pPr>
      <w:r>
        <w:rPr>
          <w:rFonts w:ascii="PT Astra Serif" w:eastAsia="PT Astra Serif" w:hAnsi="PT Astra Serif" w:cs="PT Astra Serif"/>
          <w:sz w:val="28"/>
          <w:szCs w:val="28"/>
        </w:rPr>
        <w:t>объем безвозмездных поступлений – 32 199 997,3 тыс. рублей;</w:t>
      </w:r>
    </w:p>
    <w:p>
      <w:pPr>
        <w:ind w:firstLine="709"/>
        <w:rPr>
          <w:rFonts w:ascii="PT Astra Serif" w:hAnsi="PT Astra Serif" w:cs="PT Astra Serif"/>
          <w:sz w:val="28"/>
          <w:szCs w:val="28"/>
        </w:rPr>
      </w:pPr>
      <w:r>
        <w:rPr>
          <w:rFonts w:ascii="PT Astra Serif" w:eastAsia="PT Astra Serif" w:hAnsi="PT Astra Serif" w:cs="PT Astra Serif"/>
          <w:sz w:val="28"/>
          <w:szCs w:val="28"/>
        </w:rPr>
        <w:t>объем межбюджетных трансфертов, получаемых из других бюджетов бюджетной системы Российской Федерации –  32 134 141,4 тыс. рублей;</w:t>
      </w:r>
    </w:p>
    <w:p>
      <w:pPr>
        <w:ind w:left="709"/>
        <w:jc w:val="both"/>
        <w:rPr>
          <w:rFonts w:ascii="PT Astra Serif" w:hAnsi="PT Astra Serif" w:cs="PT Astra Serif"/>
          <w:sz w:val="28"/>
          <w:szCs w:val="28"/>
        </w:rPr>
      </w:pPr>
      <w:r>
        <w:rPr>
          <w:rFonts w:ascii="PT Astra Serif" w:eastAsia="PT Astra Serif" w:hAnsi="PT Astra Serif" w:cs="PT Astra Serif"/>
          <w:sz w:val="28"/>
          <w:szCs w:val="28"/>
        </w:rPr>
        <w:t>общий объем расходов бюджета – 127 437 078,4 тыс. рублей;</w:t>
      </w:r>
    </w:p>
    <w:p>
      <w:pPr>
        <w:ind w:firstLine="709"/>
        <w:jc w:val="both"/>
        <w:rPr>
          <w:rFonts w:ascii="PT Astra Serif" w:eastAsia="PT Astra Serif" w:hAnsi="PT Astra Serif" w:cs="PT Astra Serif"/>
          <w:sz w:val="28"/>
          <w:szCs w:val="28"/>
        </w:rPr>
      </w:pPr>
      <w:r>
        <w:rPr>
          <w:rFonts w:ascii="PT Astra Serif" w:eastAsia="PT Astra Serif" w:hAnsi="PT Astra Serif" w:cs="PT Astra Serif"/>
          <w:sz w:val="28"/>
          <w:szCs w:val="28"/>
        </w:rPr>
        <w:t>объем расходов на обслуживание государственного долга Томской области – 4 969 377,8  тыс. рублей;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дефицит бюджета -  228 176</w:t>
      </w:r>
      <w:r>
        <w:rPr>
          <w:rFonts w:ascii="PT Astra Serif" w:eastAsia="PT Astra Serif" w:hAnsi="PT Astra Serif" w:cs="PT Astra Serif"/>
          <w:sz w:val="28"/>
          <w:szCs w:val="28"/>
          <w:highlight w:val="white"/>
        </w:rPr>
        <w:t>,7 тыс. рублей;</w:t>
      </w:r>
    </w:p>
    <w:p>
      <w:pPr>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верхний предел государственного внутреннего долга Томской области по состоянию на 1 января 2027 года – 51 802 118,6 тыс. рублей, в том числе </w:t>
      </w:r>
      <w:r>
        <w:rPr>
          <w:rFonts w:ascii="PT Astra Serif" w:eastAsia="PT Astra Serif" w:hAnsi="PT Astra Serif" w:cs="PT Astra Serif"/>
          <w:sz w:val="28"/>
          <w:szCs w:val="28"/>
        </w:rPr>
        <w:t>верхний предел долга по государственным гарантиям Томской области - 0,0 тыс. рублей.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36. Суммарный объем государственного долга Томской области на дату утверждения настоящих Условий эмиссии составляет </w:t>
      </w:r>
      <w:r>
        <w:rPr>
          <w:rFonts w:ascii="PT Astra Serif" w:eastAsia="PT Astra Serif" w:hAnsi="PT Astra Serif" w:cs="PT Astra Serif"/>
          <w:sz w:val="28"/>
          <w:szCs w:val="28"/>
          <w:highlight w:val="white"/>
        </w:rPr>
        <w:t>58 186 403,3 тыс</w:t>
      </w:r>
      <w:r>
        <w:rPr>
          <w:rFonts w:ascii="PT Astra Serif" w:eastAsia="PT Astra Serif" w:hAnsi="PT Astra Serif" w:cs="PT Astra Serif"/>
          <w:sz w:val="28"/>
          <w:szCs w:val="28"/>
        </w:rPr>
        <w:t>. рублей.</w:t>
      </w:r>
    </w:p>
    <w:p>
      <w:pPr>
        <w:pStyle w:val="ConsPlusNormal"/>
        <w:ind w:firstLine="709"/>
        <w:jc w:val="both"/>
        <w:rPr>
          <w:rFonts w:ascii="PT Astra Serif" w:hAnsi="PT Astra Serif" w:cs="PT Astra Serif"/>
          <w:sz w:val="28"/>
          <w:szCs w:val="28"/>
        </w:rPr>
      </w:pPr>
      <w:r>
        <w:rPr>
          <w:rFonts w:ascii="PT Astra Serif" w:eastAsia="PT Astra Serif" w:hAnsi="PT Astra Serif" w:cs="PT Astra Serif"/>
          <w:sz w:val="28"/>
          <w:szCs w:val="28"/>
        </w:rPr>
        <w:t xml:space="preserve">37. Информация об исполнении областного бюджета Томской области за </w:t>
      </w:r>
      <w:hyperlink w:anchor="Par393" w:tooltip="#Par393" w:history="1">
        <w:r>
          <w:rPr>
            <w:rFonts w:ascii="PT Astra Serif" w:eastAsia="PT Astra Serif" w:hAnsi="PT Astra Serif" w:cs="PT Astra Serif"/>
            <w:sz w:val="28"/>
            <w:szCs w:val="28"/>
          </w:rPr>
          <w:t>2023, 2024, 2025 годы</w:t>
        </w:r>
      </w:hyperlink>
      <w:r>
        <w:rPr>
          <w:rFonts w:ascii="PT Astra Serif" w:eastAsia="PT Astra Serif" w:hAnsi="PT Astra Serif" w:cs="PT Astra Serif"/>
          <w:sz w:val="28"/>
          <w:szCs w:val="28"/>
        </w:rPr>
        <w:t>:</w:t>
      </w:r>
    </w:p>
    <w:tbl>
      <w:tblPr>
        <w:tblW w:w="9615" w:type="pct"/>
        <w:tblLayout w:type="fixed"/>
        <w:tblCellMar>
          <w:top w:w="102" w:type="dxa"/>
          <w:left w:w="62" w:type="dxa"/>
          <w:bottom w:w="102" w:type="dxa"/>
          <w:right w:w="62" w:type="dxa"/>
        </w:tblCellMar>
        <w:tblLook w:val="04A0"/>
      </w:tblPr>
      <w:tblGrid>
        <w:gridCol w:w="860"/>
        <w:gridCol w:w="3559"/>
        <w:gridCol w:w="1798"/>
        <w:gridCol w:w="1798"/>
        <w:gridCol w:w="1801"/>
        <w:gridCol w:w="8956"/>
      </w:tblGrid>
      <w:tr>
        <w:tblPrEx>
          <w:tblW w:w="9615" w:type="pct"/>
          <w:tblLayout w:type="fixed"/>
          <w:tblCellMar>
            <w:top w:w="102" w:type="dxa"/>
            <w:left w:w="62" w:type="dxa"/>
            <w:bottom w:w="102" w:type="dxa"/>
            <w:right w:w="62" w:type="dxa"/>
          </w:tblCellMar>
          <w:tblLook w:val="04A0"/>
        </w:tblPrEx>
        <w:trPr>
          <w:gridAfter w:val="1"/>
          <w:wAfter w:w="8956" w:type="dxa"/>
        </w:trPr>
        <w:tc>
          <w:tcPr>
            <w:tcW w:w="861" w:type="dxa"/>
            <w:vMerge w:val="restart"/>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N п/п</w:t>
            </w:r>
          </w:p>
        </w:tc>
        <w:tc>
          <w:tcPr>
            <w:tcW w:w="3559" w:type="dxa"/>
            <w:vMerge w:val="restart"/>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Наименование показателей</w:t>
            </w:r>
          </w:p>
        </w:tc>
        <w:tc>
          <w:tcPr>
            <w:tcW w:w="5397" w:type="dxa"/>
            <w:gridSpan w:val="3"/>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Исполнено, тыс. руб.</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vMerge/>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jc w:val="center"/>
              <w:rPr>
                <w:sz w:val="26"/>
                <w:szCs w:val="26"/>
              </w:rPr>
            </w:pPr>
          </w:p>
        </w:tc>
        <w:tc>
          <w:tcPr>
            <w:tcW w:w="3559" w:type="dxa"/>
            <w:vMerge/>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sz w:val="26"/>
                <w:szCs w:val="26"/>
              </w:rPr>
            </w:pP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2023 год</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2024 год</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2025 год</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2</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3</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4</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5</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outlineLvl w:val="3"/>
              <w:rPr>
                <w:rFonts w:ascii="PT Astra Serif" w:hAnsi="PT Astra Serif" w:cs="PT Astra Serif"/>
                <w:sz w:val="26"/>
                <w:szCs w:val="26"/>
              </w:rPr>
            </w:pPr>
            <w:r>
              <w:rPr>
                <w:rFonts w:ascii="PT Astra Serif" w:eastAsia="PT Astra Serif" w:hAnsi="PT Astra Serif" w:cs="PT Astra Serif"/>
                <w:sz w:val="28"/>
                <w:szCs w:val="28"/>
              </w:rPr>
              <w:t>1</w:t>
            </w:r>
          </w:p>
        </w:tc>
        <w:tc>
          <w:tcPr>
            <w:tcW w:w="8956" w:type="dxa"/>
            <w:gridSpan w:val="4"/>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jc w:val="center"/>
              <w:rPr>
                <w:rFonts w:ascii="PT Astra Serif" w:hAnsi="PT Astra Serif" w:cs="PT Astra Serif"/>
                <w:sz w:val="26"/>
                <w:szCs w:val="26"/>
              </w:rPr>
            </w:pPr>
            <w:r>
              <w:rPr>
                <w:rFonts w:ascii="PT Astra Serif" w:eastAsia="PT Astra Serif" w:hAnsi="PT Astra Serif" w:cs="PT Astra Serif"/>
                <w:sz w:val="28"/>
                <w:szCs w:val="28"/>
              </w:rPr>
              <w:t>ДОХОДЫ</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Налоговые и неналоговые доходы:</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75 248 182,4</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78 030 998,8</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75 906 320,2</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Налоги на прибыль, доходы</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47 303 619,5</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47 059 821,5</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46 023 287,0</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1.1.2</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Налоги на товары (работы, услуги), реализуемые на территории Российской Федерации</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12 427 964,9</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14 095 027,4</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13 408 880,8</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1.1.3</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Налоги на совокупный доход</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3 992 055,0</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5 184 300,0</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5 666 568,5</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1.1.4</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Налоги на имущество</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8 745 197,3</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8 782 790,6</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8 104 280,7</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1.1.5</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Налоги, сборы и регулярные платежи за пользование природными ресурсами</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20 803,0</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27 738,7</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31 014,5</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1.1.6</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Госпошлина</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152 636,3</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136 595,5</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140 845,3</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1.1.7</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Задолженность и перерасчеты по отмененным налогам, сборам и иным обязательным платежам</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-0,7</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1 929 506,0</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1 924,6</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1.1.8</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Доходы от использования имущества, находящегося в государственной и муниципальной собственности</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487 114,2</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497 551,4</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443 121,8</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1.1.9</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 xml:space="preserve">Платежи при пользовании </w:t>
            </w:r>
            <w:r>
              <w:rPr>
                <w:rFonts w:ascii="PT Astra Serif" w:eastAsia="PT Astra Serif" w:hAnsi="PT Astra Serif" w:cs="PT Astra Serif"/>
                <w:sz w:val="28"/>
                <w:szCs w:val="28"/>
              </w:rPr>
              <w:t>природными ресурсами</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1 252 054,3</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959 783,2</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819 013,8</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1.1.10</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Доходы от оказания платных услуг (работ) и компенсации затрат государства</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148 390,2</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197 650,0</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193 668,0</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1.1.11</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Доходы от продажи материальных и нематериальных активов</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2 718,5</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5 377 329,0</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280,5</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1.1.12</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Административные платежи и сборы</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2 318,5</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57,9</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52,6</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1.1.13</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Штрафы, санкции, возмещение ущерба</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713 466,3</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1 085 376,1</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1 071 721,9</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1.1.14</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Прочие неналоговые доходы</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-154,9</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858,6</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1 660,1</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Безвозмездные поступления</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29 187 657,6</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31 130 921,6</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30 468 222,7</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1.2.1</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Безвозмездные поступления от других бюджетов бюджетной системы Российской Федерации</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26 623 726,2</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29 731 592,7</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29 898 642,0</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1.2.2</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Безвозмездные поступления от государственных (муниципальных) организаций</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1 567 151,0</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730 931,5</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highlight w:val="white"/>
              </w:rPr>
            </w:pPr>
            <w:r>
              <w:rPr>
                <w:rFonts w:ascii="PT Astra Serif" w:hAnsi="PT Astra Serif" w:cs="PT Astra Serif"/>
                <w:sz w:val="28"/>
                <w:szCs w:val="28"/>
                <w:highlight w:val="white"/>
              </w:rPr>
              <w:t>122 024,6</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1.2.3</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Безвозмездные поступления от негосударственных организаций</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11 840,6</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17 738,5</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highlight w:val="white"/>
              </w:rPr>
            </w:pPr>
            <w:r>
              <w:rPr>
                <w:rFonts w:ascii="PT Astra Serif" w:hAnsi="PT Astra Serif" w:cs="PT Astra Serif"/>
                <w:sz w:val="28"/>
                <w:szCs w:val="28"/>
                <w:highlight w:val="white"/>
              </w:rPr>
              <w:t>22 119,4</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1.2.4</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Прочие безвозмездные поступления</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9 042,3</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8 630,3</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308,6</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1.2.5</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 xml:space="preserve">Доходы бюджетов бюджетной системы Российской Федерации от возврата бюджетами бюджетной системы Российской Федерации и организациями остатков субсидий, субвенций и </w:t>
            </w:r>
            <w:r>
              <w:rPr>
                <w:rFonts w:ascii="PT Astra Serif" w:eastAsia="PT Astra Serif" w:hAnsi="PT Astra Serif" w:cs="PT Astra Serif"/>
                <w:sz w:val="28"/>
                <w:szCs w:val="28"/>
              </w:rPr>
              <w:t>иных межбюджетных трансфертов, имеющих целевое назначение, прошлых лет</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1 135 479,5</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784 218,3</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1 122 514,3</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1.2.6</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Возврат остатков субсидий, субвенций и иных межбюджетных трансфертов, имеющих целевое назначение, прошлых лет</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-159 582,0</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-142 189,7</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- 697 386,3</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ВСЕГО ДОХОДОВ</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104 435 840,0</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109 161 920,4</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106 374 542,9</w:t>
            </w:r>
          </w:p>
        </w:tc>
      </w:tr>
      <w:tr>
        <w:tblPrEx>
          <w:tblW w:w="9615" w:type="pct"/>
          <w:tblLayout w:type="fixed"/>
          <w:tblCellMar>
            <w:top w:w="102" w:type="dxa"/>
            <w:left w:w="62" w:type="dxa"/>
            <w:bottom w:w="102" w:type="dxa"/>
            <w:right w:w="62" w:type="dxa"/>
          </w:tblCellMar>
          <w:tblLook w:val="04A0"/>
        </w:tblPrEx>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outlineLvl w:val="3"/>
              <w:rPr>
                <w:rFonts w:ascii="PT Astra Serif" w:hAnsi="PT Astra Serif" w:cs="PT Astra Serif"/>
                <w:sz w:val="26"/>
                <w:szCs w:val="26"/>
              </w:rPr>
            </w:pPr>
            <w:r>
              <w:rPr>
                <w:rFonts w:ascii="PT Astra Serif" w:eastAsia="PT Astra Serif" w:hAnsi="PT Astra Serif" w:cs="PT Astra Serif"/>
                <w:sz w:val="28"/>
                <w:szCs w:val="28"/>
              </w:rPr>
              <w:t>2</w:t>
            </w:r>
          </w:p>
        </w:tc>
        <w:tc>
          <w:tcPr>
            <w:tcW w:w="8956" w:type="dxa"/>
            <w:gridSpan w:val="4"/>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jc w:val="center"/>
              <w:rPr>
                <w:rFonts w:ascii="PT Astra Serif" w:hAnsi="PT Astra Serif" w:cs="PT Astra Serif"/>
                <w:sz w:val="26"/>
                <w:szCs w:val="26"/>
              </w:rPr>
            </w:pPr>
            <w:r>
              <w:rPr>
                <w:rFonts w:ascii="PT Astra Serif" w:hAnsi="PT Astra Serif" w:cs="PT Astra Serif"/>
                <w:sz w:val="26"/>
                <w:szCs w:val="26"/>
              </w:rPr>
              <w:t>РАСХОДЫ</w:t>
            </w:r>
          </w:p>
        </w:tc>
        <w:tc>
          <w:tcPr>
            <w:tcW w:w="8956" w:type="dxa"/>
            <w:noWrap w:val="0"/>
            <w:textDirection w:val="lrTb"/>
            <w:vAlign w:val="center"/>
          </w:tcPr>
          <w:p>
            <w:pPr>
              <w:pStyle w:val="ConsPlusNormal"/>
              <w:jc w:val="center"/>
              <w:rPr>
                <w:rFonts w:ascii="PT Astra Serif" w:hAnsi="PT Astra Serif" w:cs="PT Astra Serif"/>
                <w:sz w:val="26"/>
                <w:szCs w:val="26"/>
              </w:rPr>
            </w:pP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Общегосударственные вопросы</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3 646 008,2</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4 329 894,8</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4 952 747,4</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2.2</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Национальная оборона</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50 626,1</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50 003,5</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53 562,8</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2.3</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Национальная безопасность и правоохранительная деятельность</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6 525 192,7</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1 275 045,7</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highlight w:val="white"/>
              </w:rPr>
            </w:pPr>
            <w:r>
              <w:rPr>
                <w:rFonts w:ascii="PT Astra Serif" w:hAnsi="PT Astra Serif" w:cs="PT Astra Serif"/>
                <w:sz w:val="28"/>
                <w:szCs w:val="28"/>
                <w:highlight w:val="white"/>
              </w:rPr>
              <w:t>1 521 333,0</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2.4</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Национальная экономика</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17 966 459,6</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19 567 134,5</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highlight w:val="white"/>
              </w:rPr>
            </w:pPr>
            <w:r>
              <w:rPr>
                <w:rFonts w:ascii="PT Astra Serif" w:hAnsi="PT Astra Serif" w:cs="PT Astra Serif"/>
                <w:sz w:val="28"/>
                <w:szCs w:val="28"/>
                <w:highlight w:val="white"/>
              </w:rPr>
              <w:t>19 237 469,3</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2.5</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Жилищно-коммунальное хозяйство</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1 059 051,2</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3 204 141,4</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highlight w:val="white"/>
              </w:rPr>
            </w:pPr>
            <w:r>
              <w:rPr>
                <w:rFonts w:ascii="PT Astra Serif" w:hAnsi="PT Astra Serif" w:cs="PT Astra Serif"/>
                <w:sz w:val="28"/>
                <w:szCs w:val="28"/>
                <w:highlight w:val="white"/>
              </w:rPr>
              <w:t>4 827 002,9</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2.6</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Охрана окружающей среды</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416 354,7</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426 701,8</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highlight w:val="white"/>
              </w:rPr>
            </w:pPr>
            <w:r>
              <w:rPr>
                <w:rFonts w:ascii="PT Astra Serif" w:hAnsi="PT Astra Serif" w:cs="PT Astra Serif"/>
                <w:sz w:val="28"/>
                <w:szCs w:val="28"/>
                <w:highlight w:val="white"/>
              </w:rPr>
              <w:t>282 548,0</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2.7</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Образование</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28 339 460,7</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32 504 035,9</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highlight w:val="white"/>
              </w:rPr>
            </w:pPr>
            <w:r>
              <w:rPr>
                <w:rFonts w:ascii="PT Astra Serif" w:hAnsi="PT Astra Serif" w:cs="PT Astra Serif"/>
                <w:sz w:val="28"/>
                <w:szCs w:val="28"/>
                <w:highlight w:val="white"/>
              </w:rPr>
              <w:t>35 069 807,2</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2.8</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Культура, кинематография</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2 710 029,5</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3 328 355,0</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3 302 646,8</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2.9</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Здравоохранение</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9 194 424,1</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8 935 451,8</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11 103 508,1</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2.10</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Социальная политика</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24 629 902,8</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25 501 284,0</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31 094 997,8</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2.11</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Физическая культура и спорт</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522 595,9</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844 680,0</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835 917,0</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2.12</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Средства массовой информации</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121 609,1</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129 213,7</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164 486,2</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2.13</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Обслуживание государственного и муниципального долга</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957 673,3</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1 161 089,5</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2 961 429,9</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2.14</w:t>
            </w: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Межбюджетные трансферты общего характера бюджетам бюджетной системы Российской Федерации</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7 768 622,0</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9 324 155,2</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9 446 </w:t>
            </w:r>
            <w:r>
              <w:rPr>
                <w:rFonts w:ascii="PT Astra Serif" w:hAnsi="PT Astra Serif" w:cs="PT Astra Serif"/>
                <w:sz w:val="28"/>
                <w:szCs w:val="28"/>
                <w:highlight w:val="white"/>
              </w:rPr>
              <w:t>051,8</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jc w:val="center"/>
              <w:rPr>
                <w:rFonts w:ascii="PT Astra Serif" w:hAnsi="PT Astra Serif" w:cs="PT Astra Serif"/>
                <w:sz w:val="26"/>
                <w:szCs w:val="26"/>
              </w:rPr>
            </w:pP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ВСЕГО РАСХОДОВ</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103 908 009,9</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110 581 186,9</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124 853 508,2</w:t>
            </w:r>
          </w:p>
        </w:tc>
      </w:tr>
      <w:tr>
        <w:tblPrEx>
          <w:tblW w:w="9615" w:type="pct"/>
          <w:tblLayout w:type="fixed"/>
          <w:tblCellMar>
            <w:top w:w="102" w:type="dxa"/>
            <w:left w:w="62" w:type="dxa"/>
            <w:bottom w:w="102" w:type="dxa"/>
            <w:right w:w="62" w:type="dxa"/>
          </w:tblCellMar>
          <w:tblLook w:val="04A0"/>
        </w:tblPrEx>
        <w:trPr>
          <w:gridAfter w:val="1"/>
          <w:wAfter w:w="8956" w:type="dxa"/>
        </w:trPr>
        <w:tc>
          <w:tcPr>
            <w:tcW w:w="861"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jc w:val="center"/>
              <w:rPr>
                <w:rFonts w:ascii="PT Astra Serif" w:hAnsi="PT Astra Serif" w:cs="PT Astra Serif"/>
                <w:sz w:val="26"/>
                <w:szCs w:val="26"/>
              </w:rPr>
            </w:pPr>
          </w:p>
        </w:tc>
        <w:tc>
          <w:tcPr>
            <w:tcW w:w="3559" w:type="dxa"/>
            <w:tcBorders>
              <w:top w:val="single" w:sz="4" w:space="0" w:color="000000"/>
              <w:left w:val="single" w:sz="4" w:space="0" w:color="000000"/>
              <w:bottom w:val="single" w:sz="4" w:space="0" w:color="000000"/>
              <w:right w:val="single" w:sz="4" w:space="0" w:color="000000"/>
            </w:tcBorders>
            <w:noWrap w:val="0"/>
            <w:textDirection w:val="lrTb"/>
            <w:vAlign w:val="center"/>
          </w:tcPr>
          <w:p>
            <w:pPr>
              <w:pStyle w:val="ConsPlusNormal"/>
              <w:rPr>
                <w:rFonts w:ascii="PT Astra Serif" w:hAnsi="PT Astra Serif" w:cs="PT Astra Serif"/>
                <w:sz w:val="26"/>
                <w:szCs w:val="26"/>
              </w:rPr>
            </w:pPr>
            <w:r>
              <w:rPr>
                <w:rFonts w:ascii="PT Astra Serif" w:eastAsia="PT Astra Serif" w:hAnsi="PT Astra Serif" w:cs="PT Astra Serif"/>
                <w:sz w:val="28"/>
                <w:szCs w:val="28"/>
              </w:rPr>
              <w:t>Превышение расходов над доходами (дефицит «-») Превышение доходов над расходами (профицит «+»)</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color w:val="000000"/>
                <w:sz w:val="26"/>
                <w:szCs w:val="26"/>
              </w:rPr>
            </w:pPr>
            <w:r>
              <w:rPr>
                <w:rFonts w:ascii="PT Astra Serif" w:eastAsia="PT Astra Serif" w:hAnsi="PT Astra Serif" w:cs="PT Astra Serif"/>
                <w:color w:val="000000"/>
                <w:sz w:val="28"/>
                <w:szCs w:val="28"/>
              </w:rPr>
              <w:t>527 830,1</w:t>
            </w:r>
          </w:p>
        </w:tc>
        <w:tc>
          <w:tcPr>
            <w:tcW w:w="1798"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eastAsia="PT Astra Serif" w:hAnsi="PT Astra Serif" w:cs="PT Astra Serif"/>
                <w:sz w:val="28"/>
                <w:szCs w:val="28"/>
              </w:rPr>
              <w:t>-1 419 266,5</w:t>
            </w:r>
          </w:p>
        </w:tc>
        <w:tc>
          <w:tcPr>
            <w:tcW w:w="1801" w:type="dxa"/>
            <w:tcBorders>
              <w:top w:val="single" w:sz="4" w:space="0" w:color="000000"/>
              <w:left w:val="single" w:sz="4" w:space="0" w:color="000000"/>
              <w:bottom w:val="single" w:sz="4" w:space="0" w:color="000000"/>
              <w:right w:val="single" w:sz="4" w:space="0" w:color="000000"/>
            </w:tcBorders>
            <w:noWrap w:val="0"/>
            <w:textDirection w:val="lrTb"/>
            <w:vAlign w:val="center"/>
          </w:tcPr>
          <w:p>
            <w:pPr>
              <w:jc w:val="right"/>
              <w:rPr>
                <w:rFonts w:ascii="PT Astra Serif" w:hAnsi="PT Astra Serif" w:cs="PT Astra Serif"/>
                <w:sz w:val="28"/>
                <w:szCs w:val="28"/>
              </w:rPr>
            </w:pPr>
            <w:r>
              <w:rPr>
                <w:rFonts w:ascii="PT Astra Serif" w:hAnsi="PT Astra Serif" w:cs="PT Astra Serif"/>
                <w:sz w:val="28"/>
                <w:szCs w:val="28"/>
              </w:rPr>
              <w:t>-18 478 965,3</w:t>
            </w:r>
          </w:p>
        </w:tc>
      </w:tr>
    </w:tbl>
    <w:p>
      <w:pPr>
        <w:pBdr>
          <w:right w:val="nil"/>
        </w:pBdr>
        <w:tabs>
          <w:tab w:val="left" w:pos="7088"/>
        </w:tabs>
        <w:jc w:val="both"/>
        <w:rPr>
          <w:rFonts w:ascii="PT Astra Serif" w:hAnsi="PT Astra Serif"/>
          <w:sz w:val="18"/>
          <w:szCs w:val="18"/>
        </w:rPr>
      </w:pPr>
    </w:p>
    <w:sectPr>
      <w:headerReference w:type="default" r:id="rId8"/>
      <w:headerReference w:type="first" r:id="rId9"/>
      <w:type w:val="continuous"/>
      <w:pgSz w:w="11907" w:h="16840" w:orient="portrait"/>
      <w:pgMar w:top="1134" w:right="851" w:bottom="1134" w:left="1418" w:header="737" w:footer="284" w:gutter="0"/>
      <w:pgNumType w:start="1"/>
      <w:cols w:num="1" w:sep="0" w:space="720" w:equalWidth="1"/>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default"/>
  </w:font>
  <w:font w:name="Noto Serif CJK SC">
    <w:panose1 w:val="02020400000000000000"/>
    <w:charset w:val="00"/>
    <w:family w:val="auto"/>
    <w:pitch w:val="default"/>
  </w:font>
  <w:font w:name="FreeSans">
    <w:panose1 w:val="020B0504020202020204"/>
    <w:charset w:val="00"/>
    <w:family w:val="auto"/>
    <w:pitch w:val="default"/>
  </w:font>
  <w:font w:name="Calibri">
    <w:panose1 w:val="020F0502020204030204"/>
    <w:charset w:val="00"/>
    <w:family w:val="auto"/>
    <w:pitch w:val="default"/>
  </w:font>
  <w:font w:name="Tahoma">
    <w:panose1 w:val="020B0604030504040204"/>
    <w:charset w:val="00"/>
    <w:family w:val="auto"/>
    <w:pitch w:val="default"/>
  </w:font>
  <w:font w:name="PT Astra Serif">
    <w:panose1 w:val="020A0603040505020204"/>
    <w:charset w:val="00"/>
    <w:family w:val="auto"/>
    <w:pitch w:val="default"/>
  </w:font>
  <w:font w:name="Arial">
    <w:panose1 w:val="020B0604020202020204"/>
    <w:charset w:val="00"/>
    <w:family w:val="auto"/>
    <w:pitch w:val="default"/>
  </w:font>
  <w:font w:name="Cambria">
    <w:panose1 w:val="02040503050406030204"/>
    <w:charset w:val="00"/>
    <w:family w:val="auto"/>
    <w:pitch w:val="default"/>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spacing w:before="0"/>
      <w:rPr>
        <w:rFonts w:ascii="PT Astra Serif" w:hAnsi="PT Astra Serif"/>
        <w:b w:val="0"/>
        <w:szCs w:val="28"/>
      </w:rPr>
    </w:pPr>
    <w:r>
      <w:rPr>
        <w:rFonts w:ascii="PT Astra Serif" w:hAnsi="PT Astra Serif"/>
        <w:sz w:val="24"/>
        <w:szCs w:val="24"/>
      </w:rPr>
      <w:fldChar w:fldCharType="begin"/>
    </w:r>
    <w:r>
      <w:rPr>
        <w:rFonts w:ascii="PT Astra Serif" w:hAnsi="PT Astra Serif"/>
        <w:sz w:val="24"/>
        <w:szCs w:val="24"/>
      </w:rPr>
      <w:instrText xml:space="preserve"> PAGE   \* MERGEFORMAT </w:instrText>
    </w:r>
    <w:r>
      <w:rPr>
        <w:rFonts w:ascii="PT Astra Serif" w:hAnsi="PT Astra Serif"/>
        <w:b w:val="0"/>
        <w:szCs w:val="28"/>
      </w:rPr>
      <w:fldChar w:fldCharType="separate"/>
    </w:r>
    <w:r>
      <w:rPr>
        <w:rFonts w:ascii="PT Astra Serif" w:hAnsi="PT Astra Serif"/>
        <w:b w:val="0"/>
        <w:szCs w:val="28"/>
      </w:rPr>
      <w:t>2</w:t>
    </w:r>
    <w:r>
      <w:rPr>
        <w:rFonts w:ascii="PT Astra Serif" w:hAnsi="PT Astra Serif"/>
        <w:b w:val="0"/>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pacing w:after="120"/>
      <w:jc w:val="center"/>
      <w:rPr>
        <w:rFonts w:ascii="PT Astra Serif" w:eastAsia="PT Astra Serif" w:hAnsi="PT Astra Serif" w:cs="PT Astra Serif"/>
        <w:b/>
        <w:sz w:val="12"/>
        <w:szCs w:val="12"/>
      </w:rPr>
    </w:pPr>
    <w:r>
      <w:rPr>
        <w:rFonts w:ascii="PT Astra Serif" w:eastAsia="PT Astra Serif" w:hAnsi="PT Astra Serif" w:cs="PT Astra Seri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xmlns:r="http://schemas.openxmlformats.org/officeDocument/2006/relationships" r:embed="rId1"/>
                  <a:stretch>
                    <a:fillRect/>
                  </a:stretch>
                </pic:blipFill>
                <pic:spPr bwMode="auto">
                  <a:xfrm>
                    <a:off x="0" y="0"/>
                    <a:ext cx="676275" cy="619125"/>
                  </a:xfrm>
                  <a:prstGeom prst="rect">
                    <a:avLst/>
                  </a:prstGeom>
                  <a:noFill/>
                  <a:ln>
                    <a:noFill/>
                  </a:ln>
                </pic:spPr>
              </pic:pic>
            </a:graphicData>
          </a:graphic>
        </wp:inline>
      </w:drawing>
    </w:r>
  </w:p>
  <w:p>
    <w:pPr>
      <w:pStyle w:val="Header"/>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финансов Томской области</w:t>
    </w:r>
  </w:p>
  <w:p>
    <w:pPr>
      <w:pStyle w:val="Header"/>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pBdr>
        <w:top w:val="nil"/>
        <w:left w:val="nil"/>
        <w:bottom w:val="nil"/>
        <w:right w:val="nil"/>
        <w:between w:val="nil"/>
      </w:pBdr>
    </w:pPr>
    <w:rPr>
      <w:sz w:val="22"/>
      <w:szCs w:val="22"/>
      <w:lang w:eastAsia="en-US" w:bidi="en-US"/>
    </w:rPr>
  </w:style>
  <w:style w:type="paragraph" w:styleId="Heading1">
    <w:name w:val="heading 1"/>
    <w:link w:val="1"/>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Heading2">
    <w:name w:val="heading 2"/>
    <w:link w:val="2"/>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Heading3">
    <w:name w:val="heading 3"/>
    <w:link w:val="3"/>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Heading4">
    <w:name w:val="heading 4"/>
    <w:link w:val="4"/>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Heading5">
    <w:name w:val="heading 5"/>
    <w:link w:val="5"/>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Heading6">
    <w:name w:val="heading 6"/>
    <w:link w:val="6"/>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Heading7">
    <w:name w:val="heading 7"/>
    <w:link w:val="7"/>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Heading8">
    <w:name w:val="heading 8"/>
    <w:link w:val="8"/>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Heading9">
    <w:name w:val="heading 9"/>
    <w:link w:val="9"/>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dnoteTextChar">
    <w:name w:val="Endnote Text Char"/>
    <w:uiPriority w:val="99"/>
    <w:rPr>
      <w:sz w:val="20"/>
    </w:rPr>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
    <w:name w:val="Heading 2 Char"/>
    <w:basedOn w:val="DefaultParagraphFont"/>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character" w:customStyle="1" w:styleId="CaptionChar">
    <w:name w:val="Caption Char"/>
    <w:uiPriority w:val="99"/>
  </w:style>
  <w:style w:type="table" w:customStyle="1"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band1Horz">
      <w:tblPr/>
      <w:tcPr>
        <w:shd w:val="clear" w:color="F2F2F2" w:fill="auto" w:themeColor="text1" w:themeTint="0D"/>
      </w:tcPr>
    </w:tblStylePr>
    <w:tblStylePr w:type="band1Vert">
      <w:tblPr/>
      <w:tcPr>
        <w:shd w:val="clear" w:color="F2F2F2" w:fill="auto" w:themeColor="text1" w:theme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customStyle="1" w:styleId="PlainTable2">
    <w:name w:val="Plain Table 2"/>
    <w:basedOn w:val="TableNormal"/>
    <w:uiPriority w:val="59"/>
    <w:tblPr>
      <w:tblBorders>
        <w:top w:val="single" w:sz="4" w:space="0" w:color="000000" w:themeColor="text1"/>
        <w:left w:val="nil"/>
        <w:bottom w:val="single" w:sz="4" w:space="0" w:color="000000" w:themeColor="text1"/>
        <w:right w:val="nil"/>
      </w:tblBorders>
    </w:tblPr>
    <w:tblStylePr w:type="band1Horz">
      <w:tblPr/>
      <w:tcPr>
        <w:tcBorders>
          <w:top w:val="single" w:sz="4" w:space="0" w:color="000000" w:themeColor="text1"/>
          <w:bottom w:val="single" w:sz="4" w:space="0" w:color="000000" w:themeColor="text1"/>
        </w:tcBorders>
      </w:tc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firstCol">
      <w:rPr>
        <w:rFonts w:ascii="Arial" w:hAnsi="Arial"/>
        <w:b/>
        <w:color w:val="404040"/>
        <w:sz w:val="22"/>
      </w:rPr>
    </w:tblStyle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customStyle="1" w:styleId="PlainTable3">
    <w:name w:val="Plain Table 3"/>
    <w:basedOn w:val="TableNormal"/>
    <w:uiPriority w:val="99"/>
    <w:tblPr>
      <w:tblStyleRowBandSize w:val="1"/>
      <w:tblStyleColBandSize w:val="1"/>
    </w:tblPr>
    <w:tblStylePr w:type="band1Horz">
      <w:rPr>
        <w:rFonts w:ascii="Arial" w:hAnsi="Arial"/>
        <w:color w:val="404040"/>
        <w:sz w:val="22"/>
      </w:rPr>
      <w:tblPr/>
      <w:tcPr>
        <w:shd w:val="clear" w:color="F2F2F2" w:fill="auto" w:themeColor="text1" w:themeTint="0D"/>
      </w:tcPr>
    </w:tblStylePr>
    <w:tblStylePr w:type="band1Vert">
      <w:rPr>
        <w:rFonts w:ascii="Arial" w:hAnsi="Arial"/>
        <w:color w:val="404040"/>
        <w:sz w:val="22"/>
      </w:rPr>
      <w:tblPr/>
      <w:tcPr>
        <w:shd w:val="clear" w:color="F2F2F2" w:fill="auto" w:themeColor="text1" w:themeTint="0D"/>
      </w:tcPr>
    </w:tblStylePr>
    <w:tblStylePr w:type="firstCol">
      <w:rPr>
        <w:b/>
        <w:caps/>
        <w:color w:val="404040"/>
      </w:rPr>
      <w:tblPr/>
      <w:tcPr>
        <w:tcBorders>
          <w:top w:val="nil"/>
          <w:left w:val="nil"/>
          <w:bottom w:val="nil"/>
          <w:right w:val="single" w:sz="4" w:space="0" w:color="404040"/>
        </w:tcBorders>
      </w:tcPr>
    </w:tblStylePr>
    <w:tblStylePr w:type="firstRow">
      <w:rPr>
        <w:b/>
        <w:caps/>
        <w:color w:val="404040"/>
      </w:rPr>
      <w:tblPr/>
      <w:tcPr>
        <w:tcBorders>
          <w:top w:val="nil"/>
          <w:left w:val="nil"/>
          <w:bottom w:val="single" w:sz="4" w:space="0" w:color="404040"/>
          <w:right w:val="nil"/>
        </w:tcBorders>
      </w:tcPr>
    </w:tblStylePr>
    <w:tblStylePr w:type="lastCol">
      <w:rPr>
        <w:b/>
        <w:caps/>
        <w:color w:val="404040"/>
      </w:rPr>
    </w:tblStylePr>
    <w:tblStylePr w:type="lastRow">
      <w:rPr>
        <w:b/>
        <w:caps/>
        <w:color w:val="404040"/>
      </w:rPr>
    </w:tblStylePr>
  </w:style>
  <w:style w:type="table" w:customStyle="1" w:styleId="PlainTable4">
    <w:name w:val="Plain Table 4"/>
    <w:basedOn w:val="TableNormal"/>
    <w:uiPriority w:val="99"/>
    <w:tblPr>
      <w:tblStyleRowBandSize w:val="1"/>
      <w:tblStyleColBandSize w:val="1"/>
    </w:tblPr>
    <w:tblStylePr w:type="band1Horz">
      <w:rPr>
        <w:rFonts w:ascii="Arial" w:hAnsi="Arial"/>
        <w:color w:val="404040"/>
        <w:sz w:val="22"/>
      </w:rPr>
      <w:tblPr/>
      <w:tcPr>
        <w:shd w:val="clear" w:color="F2F2F2" w:fill="auto" w:themeColor="text1" w:themeTint="0D"/>
      </w:tcPr>
    </w:tblStylePr>
    <w:tblStylePr w:type="band1Vert">
      <w:rPr>
        <w:rFonts w:ascii="Arial" w:hAnsi="Arial"/>
        <w:color w:val="404040"/>
        <w:sz w:val="22"/>
      </w:rPr>
      <w:tblPr/>
      <w:tcPr>
        <w:shd w:val="clear" w:color="F2F2F2" w:fill="auto" w:themeColor="text1" w:theme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customStyle="1" w:styleId="PlainTable5">
    <w:name w:val="Plain Table 5"/>
    <w:basedOn w:val="TableNormal"/>
    <w:uiPriority w:val="99"/>
    <w:tblPr>
      <w:tblStyleRowBandSize w:val="1"/>
      <w:tblStyleColBandSize w:val="1"/>
    </w:tblPr>
    <w:tblStylePr w:type="band1Horz">
      <w:rPr>
        <w:rFonts w:ascii="Arial" w:hAnsi="Arial"/>
        <w:color w:val="404040"/>
        <w:sz w:val="22"/>
      </w:rPr>
      <w:tblPr/>
      <w:tcPr>
        <w:shd w:val="clear" w:color="F2F2F2" w:fill="auto" w:themeColor="text1" w:themeTint="0D"/>
      </w:tcPr>
    </w:tblStylePr>
    <w:tblStylePr w:type="band1Vert">
      <w:rPr>
        <w:rFonts w:ascii="Arial" w:hAnsi="Arial"/>
        <w:color w:val="404040"/>
        <w:sz w:val="22"/>
      </w:rPr>
      <w:tblPr/>
      <w:tcPr>
        <w:shd w:val="clear" w:color="F2F2F2" w:fill="auto" w:themeColor="text1" w:themeTint="0D"/>
      </w:tcPr>
    </w:tblStylePr>
    <w:tblStylePr w:type="firstCol">
      <w:pPr>
        <w:jc w:val="right"/>
      </w:pPr>
      <w:rPr>
        <w:i/>
        <w:color w:val="404040"/>
      </w:rPr>
      <w:tblPr/>
      <w:tcPr>
        <w:tcBorders>
          <w:right w:val="single" w:sz="4" w:space="0" w:color="404040"/>
        </w:tcBorders>
        <w:shd w:val="clear" w:color="FFFFFF" w:fill="auto"/>
      </w:tcPr>
    </w:tblStylePr>
    <w:tblStylePr w:type="firstRow">
      <w:rPr>
        <w:i/>
        <w:color w:val="404040"/>
      </w:rPr>
      <w:tblPr/>
      <w:tcPr>
        <w:tcBorders>
          <w:left w:val="nil"/>
          <w:bottom w:val="single" w:sz="4" w:space="0" w:color="404040"/>
          <w:right w:val="nil"/>
        </w:tcBorders>
        <w:shd w:val="clear" w:color="FFFFFF" w:fill="auto"/>
      </w:tcPr>
    </w:tblStylePr>
    <w:tblStylePr w:type="lastCol">
      <w:rPr>
        <w:i/>
        <w:color w:val="404040"/>
      </w:rPr>
      <w:tblPr/>
      <w:tcPr>
        <w:tcBorders>
          <w:left w:val="single" w:sz="4" w:space="0" w:color="404040"/>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style>
  <w:style w:type="table" w:customStyle="1"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tblStylePr w:type="firstCol">
      <w:rPr>
        <w:b/>
        <w:color w:val="404040"/>
      </w:rPr>
    </w:tblStylePr>
    <w:tblStylePr w:type="firstRow">
      <w:rPr>
        <w:b/>
        <w:color w:val="404040"/>
      </w:rPr>
      <w:tblPr/>
      <w:tcPr>
        <w:tcBorders>
          <w:bottom w:val="single" w:sz="12" w:space="0" w:color="6A6A6A" w:themeColor="text1" w:themeTint="95"/>
        </w:tcBorders>
      </w:tcPr>
    </w:tblStylePr>
    <w:tblStylePr w:type="lastCol">
      <w:rPr>
        <w:b/>
        <w:color w:val="404040"/>
      </w:rPr>
    </w:tblStylePr>
    <w:tblStylePr w:type="lastRow">
      <w:rPr>
        <w:b/>
        <w:color w:val="404040"/>
      </w:rPr>
    </w:tblStylePr>
  </w:style>
  <w:style w:type="table" w:customStyle="1"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band1Horz">
      <w:rPr>
        <w:rFonts w:ascii="Arial" w:hAnsi="Arial"/>
        <w:color w:val="404040"/>
        <w:sz w:val="22"/>
      </w:rPr>
      <w:tblPr/>
      <w:tcPr>
        <w:shd w:val="clear" w:color="CBCBCB" w:fill="auto" w:themeColor="text1" w:themeTint="34"/>
      </w:tcPr>
    </w:tblStylePr>
    <w:tblStylePr w:type="band1Vert">
      <w:rPr>
        <w:rFonts w:ascii="Arial" w:hAnsi="Arial"/>
        <w:color w:val="404040"/>
        <w:sz w:val="22"/>
      </w:rPr>
      <w:tblPr/>
      <w:tcPr>
        <w:shd w:val="clear" w:color="CBCBCB" w:fill="auto" w:themeColor="text1" w:themeTint="34"/>
      </w:tcPr>
    </w:tblStylePr>
    <w:tblStylePr w:type="firstCol">
      <w:rPr>
        <w:b/>
        <w:color w:val="404040"/>
      </w:rPr>
    </w:tblStyle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Col">
      <w:rPr>
        <w:b/>
        <w:color w:val="404040"/>
      </w:r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style>
  <w:style w:type="table" w:customStyle="1"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band1Horz">
      <w:rPr>
        <w:rFonts w:ascii="Arial" w:hAnsi="Arial"/>
        <w:color w:val="404040"/>
        <w:sz w:val="22"/>
      </w:rPr>
      <w:tblPr/>
      <w:tcPr>
        <w:shd w:val="clear" w:color="CBCBCB" w:fill="auto" w:themeColor="text1" w:themeTint="34"/>
      </w:tcPr>
    </w:tblStylePr>
    <w:tblStylePr w:type="band1Vert">
      <w:rPr>
        <w:rFonts w:ascii="Arial" w:hAnsi="Arial"/>
        <w:color w:val="404040"/>
        <w:sz w:val="22"/>
      </w:rPr>
      <w:tblPr/>
      <w:tcPr>
        <w:shd w:val="clear" w:color="CBCBCB" w:fill="auto" w:themeColor="text1" w:themeTint="34"/>
      </w:tcPr>
    </w:tblStylePr>
    <w:tblStylePr w:type="firstCol">
      <w:pPr>
        <w:jc w:val="right"/>
      </w:pPr>
      <w:rPr>
        <w:i/>
        <w:color w:val="404040"/>
      </w:rPr>
      <w:tblPr/>
      <w:tcPr>
        <w:tcBorders>
          <w:top w:val="nil"/>
          <w:left w:val="nil"/>
          <w:bottom w:val="nil"/>
          <w:right w:val="nil"/>
        </w:tcBorders>
        <w:shd w:val="clear" w:color="FFFFFF" w:fill="auto"/>
      </w:tcPr>
    </w:tblStylePr>
    <w:tblStylePr w:type="firstRow">
      <w:rPr>
        <w:b/>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style>
  <w:style w:type="table" w:customStyle="1"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band1Horz">
      <w:rPr>
        <w:rFonts w:ascii="Arial" w:hAnsi="Arial"/>
        <w:color w:val="404040"/>
        <w:sz w:val="22"/>
      </w:rPr>
      <w:tblPr/>
      <w:tcPr>
        <w:shd w:val="clear" w:color="CBCBCB" w:fill="auto" w:themeColor="text1" w:themeTint="34"/>
      </w:tcPr>
    </w:tblStylePr>
    <w:tblStylePr w:type="band1Vert">
      <w:rPr>
        <w:rFonts w:ascii="Arial" w:hAnsi="Arial"/>
        <w:color w:val="404040"/>
        <w:sz w:val="22"/>
      </w:rPr>
      <w:tblPr/>
      <w:tcPr>
        <w:shd w:val="clear" w:color="CBCBCB" w:fill="auto" w:themeColor="text1" w:themeTint="34"/>
      </w:tcPr>
    </w:tblStylePr>
    <w:tblStylePr w:type="firstCol">
      <w:rPr>
        <w:b/>
        <w:color w:val="404040"/>
      </w:rPr>
    </w:tblStyle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auto" w:themeColor="text1"/>
      </w:tcPr>
    </w:tblStylePr>
    <w:tblStylePr w:type="lastCol">
      <w:rPr>
        <w:b/>
        <w:color w:val="404040"/>
      </w:rPr>
    </w:tblStylePr>
    <w:tblStylePr w:type="lastRow">
      <w:rPr>
        <w:b/>
        <w:color w:val="404040"/>
      </w:rPr>
      <w:tblPr/>
      <w:tcPr>
        <w:tcBorders>
          <w:top w:val="single" w:sz="4" w:space="0" w:color="000000" w:themeColor="text1"/>
        </w:tcBorders>
      </w:tcPr>
    </w:tblStylePr>
  </w:style>
  <w:style w:type="table" w:customStyle="1"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fill="auto" w:themeColor="text1" w:themeTint="40"/>
    </w:tblPr>
    <w:tblStylePr w:type="band1Horz">
      <w:tblPr/>
      <w:tcPr>
        <w:shd w:val="clear" w:color="8A8A8A" w:fill="auto" w:themeColor="text1" w:themeTint="75"/>
      </w:tcPr>
    </w:tblStylePr>
    <w:tblStylePr w:type="band1Vert">
      <w:tblPr/>
      <w:tcPr>
        <w:shd w:val="clear" w:color="8A8A8A" w:fill="auto" w:themeColor="text1" w:themeTint="75"/>
      </w:tcPr>
    </w:tblStylePr>
    <w:tblStylePr w:type="firstCol">
      <w:rPr>
        <w:rFonts w:ascii="Arial" w:hAnsi="Arial"/>
        <w:b/>
        <w:color w:val="FFFFFF"/>
        <w:sz w:val="22"/>
      </w:rPr>
      <w:tblPr/>
      <w:tcPr>
        <w:shd w:val="clear" w:color="000000" w:fill="auto" w:themeColor="text1"/>
      </w:tcPr>
    </w:tblStylePr>
    <w:tblStylePr w:type="firstRow">
      <w:rPr>
        <w:rFonts w:ascii="Arial" w:hAnsi="Arial"/>
        <w:b/>
        <w:color w:val="FFFFFF"/>
        <w:sz w:val="22"/>
      </w:rPr>
      <w:tblPr/>
      <w:tcPr>
        <w:shd w:val="clear" w:color="000000" w:fill="auto" w:themeColor="text1"/>
      </w:tcPr>
    </w:tblStylePr>
    <w:tblStylePr w:type="lastCol">
      <w:rPr>
        <w:rFonts w:ascii="Arial" w:hAnsi="Arial"/>
        <w:b/>
        <w:color w:val="FFFFFF"/>
        <w:sz w:val="22"/>
      </w:rPr>
      <w:tblPr/>
      <w:tcPr>
        <w:shd w:val="clear" w:color="000000" w:fill="auto" w:themeColor="text1"/>
      </w:tcPr>
    </w:tblStylePr>
    <w:tblStylePr w:type="lastRow">
      <w:rPr>
        <w:rFonts w:ascii="Arial" w:hAnsi="Arial"/>
        <w:b/>
        <w:color w:val="FFFFFF"/>
        <w:sz w:val="22"/>
      </w:rPr>
      <w:tblPr/>
      <w:tcPr>
        <w:tcBorders>
          <w:top w:val="single" w:sz="4" w:space="0" w:color="FFFFFF" w:themeColor="light1"/>
        </w:tcBorders>
        <w:shd w:val="clear" w:color="000000" w:fill="auto" w:themeColor="text1"/>
      </w:tcPr>
    </w:tblStylePr>
  </w:style>
  <w:style w:type="table" w:customStyle="1"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band1Horz">
      <w:rPr>
        <w:rFonts w:ascii="Arial" w:hAnsi="Arial"/>
        <w:color w:val="7F7F7F" w:themeColor="text1" w:themeShade="95" w:themeTint="80"/>
        <w:sz w:val="22"/>
      </w:rPr>
      <w:tblPr/>
      <w:tcPr>
        <w:shd w:val="clear" w:color="CBCBCB" w:fill="auto" w:themeColor="text1" w:themeTint="34"/>
      </w:tcPr>
    </w:tblStylePr>
    <w:tblStylePr w:type="band1Vert">
      <w:tblPr/>
      <w:tcPr>
        <w:shd w:val="clear" w:color="CBCBCB" w:fill="auto" w:themeColor="text1" w:themeTint="34"/>
      </w:tcPr>
    </w:tblStylePr>
    <w:tblStylePr w:type="band2Horz">
      <w:rPr>
        <w:rFonts w:ascii="Arial" w:hAnsi="Arial"/>
        <w:color w:val="7F7F7F" w:themeColor="text1" w:themeShade="95" w:themeTint="80"/>
        <w:sz w:val="22"/>
      </w:rPr>
    </w:tblStylePr>
    <w:tblStylePr w:type="firstCol">
      <w:rPr>
        <w:b/>
        <w:color w:val="7F7F7F" w:themeColor="text1" w:themeShade="95" w:themeTint="80"/>
      </w:rPr>
    </w:tblStylePr>
    <w:tblStylePr w:type="firstRow">
      <w:rPr>
        <w:b/>
        <w:color w:val="7F7F7F" w:themeColor="text1" w:themeShade="95" w:themeTint="80"/>
      </w:rPr>
      <w:tblPr/>
      <w:tcPr>
        <w:tcBorders>
          <w:bottom w:val="single" w:sz="12" w:space="0" w:color="7F7F7F" w:themeColor="text1" w:themeTint="80"/>
        </w:tcBorders>
      </w:tcPr>
    </w:tblStylePr>
    <w:tblStylePr w:type="lastCol">
      <w:rPr>
        <w:b/>
        <w:color w:val="7F7F7F" w:themeColor="text1" w:themeShade="95" w:themeTint="80"/>
      </w:rPr>
    </w:tblStylePr>
    <w:tblStylePr w:type="lastRow">
      <w:rPr>
        <w:b/>
        <w:color w:val="7F7F7F" w:themeColor="text1" w:themeShade="95" w:themeTint="80"/>
      </w:rPr>
    </w:tblStylePr>
  </w:style>
  <w:style w:type="table" w:customStyle="1"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band1Horz">
      <w:rPr>
        <w:rFonts w:ascii="Arial" w:hAnsi="Arial"/>
        <w:color w:val="7F7F7F" w:themeColor="text1" w:themeShade="95" w:themeTint="80"/>
        <w:sz w:val="22"/>
      </w:rPr>
      <w:tblPr/>
      <w:tcPr>
        <w:shd w:val="clear" w:color="F2F2F2" w:fill="auto" w:themeColor="text1" w:themeTint="0D"/>
      </w:tcPr>
    </w:tblStylePr>
    <w:tblStylePr w:type="band1Vert">
      <w:tblPr/>
      <w:tcPr>
        <w:shd w:val="clear" w:color="F2F2F2" w:fill="auto" w:themeColor="text1" w:themeTint="0D"/>
      </w:tcPr>
    </w:tblStylePr>
    <w:tblStylePr w:type="band2Horz">
      <w:rPr>
        <w:rFonts w:ascii="Arial" w:hAnsi="Arial"/>
        <w:color w:val="7F7F7F" w:themeColor="text1" w:themeShade="95" w:themeTint="80"/>
        <w:sz w:val="22"/>
      </w:r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style>
  <w:style w:type="table" w:customStyle="1" w:styleId="ListTable1Light">
    <w:name w:val="List Table 1 Light"/>
    <w:basedOn w:val="TableNormal"/>
    <w:uiPriority w:val="99"/>
    <w:tblPr>
      <w:tblStyleRowBandSize w:val="1"/>
      <w:tblStyleColBandSize w:val="1"/>
    </w:tblPr>
    <w:tblStylePr w:type="band1Horz">
      <w:tblPr/>
      <w:tcPr>
        <w:shd w:val="clear" w:color="BFBFBF" w:fill="auto" w:themeColor="text1" w:themeTint="40"/>
      </w:tcPr>
    </w:tblStylePr>
    <w:tblStylePr w:type="band1Vert">
      <w:tblPr/>
      <w:tcPr>
        <w:shd w:val="clear" w:color="BFBFBF" w:fill="auto" w:themeColor="text1" w:themeTint="40"/>
      </w:tcPr>
    </w:tblStylePr>
    <w:tblStylePr w:type="firstCol">
      <w:rPr>
        <w:b/>
        <w:color w:val="404040"/>
      </w:rPr>
    </w:tblStylePr>
    <w:tblStylePr w:type="firstRow">
      <w:rPr>
        <w:b/>
        <w:color w:val="404040"/>
      </w:rPr>
      <w:tblPr/>
      <w:tcPr>
        <w:tcBorders>
          <w:top w:val="nil"/>
          <w:left w:val="nil"/>
          <w:bottom w:val="single" w:sz="4" w:space="0" w:color="000000" w:themeColor="text1"/>
          <w:right w:val="nil"/>
        </w:tcBorders>
      </w:tcPr>
    </w:tblStylePr>
    <w:tblStylePr w:type="lastCol">
      <w:rPr>
        <w:b/>
        <w:color w:val="404040"/>
      </w:rPr>
    </w:tblStylePr>
    <w:tblStylePr w:type="lastRow">
      <w:rPr>
        <w:b/>
        <w:color w:val="404040"/>
      </w:rPr>
      <w:tblPr/>
      <w:tcPr>
        <w:tcBorders>
          <w:top w:val="single" w:sz="4" w:space="0" w:color="000000" w:themeColor="text1"/>
          <w:left w:val="nil"/>
          <w:bottom w:val="nil"/>
          <w:right w:val="nil"/>
        </w:tcBorders>
      </w:tcPr>
    </w:tblStylePr>
  </w:style>
  <w:style w:type="table" w:customStyle="1"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band1Horz">
      <w:rPr>
        <w:rFonts w:ascii="Arial" w:hAnsi="Arial"/>
        <w:color w:val="404040"/>
        <w:sz w:val="22"/>
      </w:rPr>
      <w:tblPr/>
      <w:tcPr>
        <w:shd w:val="clear" w:color="BFBFBF" w:fill="auto" w:themeColor="text1" w:themeTint="40"/>
      </w:tcPr>
    </w:tblStylePr>
    <w:tblStylePr w:type="band1Vert">
      <w:rPr>
        <w:rFonts w:ascii="Arial" w:hAnsi="Arial"/>
        <w:color w:val="404040"/>
        <w:sz w:val="22"/>
      </w:rPr>
      <w:tblPr/>
      <w:tcPr>
        <w:shd w:val="clear" w:color="BFBFBF" w:fill="auto" w:themeColor="text1" w:themeTint="40"/>
      </w:tcPr>
    </w:tblStylePr>
    <w:tblStylePr w:type="firstCol">
      <w:rPr>
        <w:rFonts w:ascii="Arial" w:hAnsi="Arial"/>
        <w:b/>
        <w:color w:val="404040"/>
        <w:sz w:val="22"/>
      </w:rPr>
    </w:tblStyle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Col">
      <w:rPr>
        <w:rFonts w:ascii="Arial" w:hAnsi="Arial"/>
        <w:b/>
        <w:color w:val="404040"/>
        <w:sz w:val="22"/>
      </w:r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style>
  <w:style w:type="table" w:customStyle="1"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band1Horz">
      <w:rPr>
        <w:rFonts w:ascii="Arial" w:hAnsi="Arial"/>
        <w:color w:val="404040"/>
        <w:sz w:val="22"/>
      </w:rPr>
      <w:tblPr/>
      <w:tcPr>
        <w:tcBorders>
          <w:top w:val="single" w:sz="4" w:space="0" w:color="000000" w:themeColor="text1"/>
          <w:bottom w:val="single" w:sz="4" w:space="0" w:color="000000" w:themeColor="text1"/>
        </w:tcBorders>
      </w:tc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firstCol">
      <w:rPr>
        <w:b/>
        <w:color w:val="404040"/>
      </w:rPr>
    </w:tblStylePr>
    <w:tblStylePr w:type="firstRow">
      <w:rPr>
        <w:rFonts w:ascii="Arial" w:hAnsi="Arial"/>
        <w:b/>
        <w:color w:val="FFFFFF"/>
        <w:sz w:val="22"/>
      </w:rPr>
      <w:tblPr/>
      <w:tcPr>
        <w:shd w:val="clear" w:color="000000" w:fill="auto" w:themeColor="text1"/>
      </w:tcPr>
    </w:tblStylePr>
    <w:tblStylePr w:type="lastCol">
      <w:rPr>
        <w:b/>
        <w:color w:val="404040"/>
      </w:rPr>
    </w:tblStylePr>
    <w:tblStylePr w:type="lastRow">
      <w:rPr>
        <w:b/>
        <w:color w:val="404040"/>
      </w:rPr>
    </w:tblStylePr>
  </w:style>
  <w:style w:type="table" w:customStyle="1"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band1Horz">
      <w:rPr>
        <w:rFonts w:ascii="Arial" w:hAnsi="Arial"/>
        <w:color w:val="404040"/>
        <w:sz w:val="22"/>
      </w:rPr>
      <w:tblPr/>
      <w:tcPr>
        <w:shd w:val="clear" w:color="BFBFBF" w:fill="auto" w:themeColor="text1" w:themeTint="40"/>
      </w:tcPr>
    </w:tblStylePr>
    <w:tblStylePr w:type="band1Vert">
      <w:rPr>
        <w:rFonts w:ascii="Arial" w:hAnsi="Arial"/>
        <w:color w:val="404040"/>
        <w:sz w:val="22"/>
      </w:rPr>
      <w:tblPr/>
      <w:tcPr>
        <w:shd w:val="clear" w:color="BFBFBF" w:fill="auto" w:themeColor="text1" w:themeTint="40"/>
      </w:tcPr>
    </w:tblStylePr>
    <w:tblStylePr w:type="firstCol">
      <w:rPr>
        <w:b/>
        <w:color w:val="404040"/>
      </w:rPr>
    </w:tblStylePr>
    <w:tblStylePr w:type="firstRow">
      <w:rPr>
        <w:rFonts w:ascii="Arial" w:hAnsi="Arial"/>
        <w:b/>
        <w:color w:val="FFFFFF"/>
        <w:sz w:val="22"/>
      </w:rPr>
      <w:tblPr/>
      <w:tcPr>
        <w:shd w:val="clear" w:color="000000" w:fill="auto" w:themeColor="text1"/>
      </w:tcPr>
    </w:tblStylePr>
    <w:tblStylePr w:type="lastCol">
      <w:rPr>
        <w:b/>
        <w:color w:val="404040"/>
      </w:rPr>
    </w:tblStylePr>
    <w:tblStylePr w:type="lastRow">
      <w:rPr>
        <w:b/>
        <w:color w:val="404040"/>
      </w:rPr>
    </w:tblStylePr>
  </w:style>
  <w:style w:type="table" w:customStyle="1"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fill="auto" w:themeColor="text1" w:themeTint="80"/>
    </w:tblPr>
    <w:tblStylePr w:type="band1Horz">
      <w:tblPr/>
      <w:tcPr>
        <w:tcBorders>
          <w:top w:val="single" w:sz="4" w:space="0" w:color="FFFFFF" w:themeColor="light1"/>
          <w:bottom w:val="single" w:sz="4" w:space="0" w:color="FFFFFF" w:themeColor="light1"/>
        </w:tcBorders>
        <w:shd w:val="clear" w:color="7F7F7F" w:fill="auto" w:themeColor="text1" w:themeTint="80"/>
      </w:tcPr>
    </w:tblStylePr>
    <w:tblStylePr w:type="band1Vert">
      <w:tblPr/>
      <w:tcPr>
        <w:tcBorders>
          <w:left w:val="single" w:sz="4" w:space="0" w:color="FFFFFF" w:themeColor="light1"/>
          <w:right w:val="single" w:sz="4" w:space="0" w:color="FFFFFF" w:themeColor="light1"/>
        </w:tcBorders>
        <w:shd w:val="clear" w:color="7F7F7F" w:fill="auto" w:themeColor="text1" w:themeTint="80"/>
      </w:tcPr>
    </w:tblStylePr>
    <w:tblStylePr w:type="band2Horz">
      <w:tblPr/>
      <w:tcPr>
        <w:tcBorders>
          <w:top w:val="single" w:sz="4" w:space="0" w:color="FFFFFF" w:themeColor="light1"/>
          <w:bottom w:val="single" w:sz="4" w:space="0" w:color="FFFFFF" w:themeColor="light1"/>
        </w:tcBorders>
        <w:shd w:val="clear" w:color="7F7F7F" w:fill="auto" w:themeColor="text1" w:themeTint="80"/>
      </w:tcPr>
    </w:tblStylePr>
    <w:tblStylePr w:type="band2Vert">
      <w:tblPr/>
      <w:tcPr>
        <w:tcBorders>
          <w:left w:val="single" w:sz="4" w:space="0" w:color="FFFFFF" w:themeColor="light1"/>
          <w:right w:val="single" w:sz="4" w:space="0" w:color="FFFFFF" w:themeColor="light1"/>
        </w:tcBorders>
      </w:tc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fill="auto" w:themeColor="text1" w:themeTint="80"/>
      </w:tcPr>
    </w:tblStylePr>
    <w:tblStylePr w:type="lastCol">
      <w:tblPr/>
      <w:tcPr>
        <w:tcBorders>
          <w:left w:val="single" w:sz="4" w:space="0" w:color="FFFFFF" w:themeColor="light1"/>
          <w:right w:val="single" w:sz="32" w:space="0" w:color="7F7F7F" w:themeColor="text1" w:themeTint="80"/>
        </w:tcBorders>
      </w:tcPr>
    </w:tblStylePr>
    <w:tblStylePr w:type="lastRow">
      <w:rPr>
        <w:rFonts w:ascii="Arial" w:hAnsi="Arial"/>
        <w:b/>
        <w:color w:val="FFFFFF" w:themeColor="light1"/>
        <w:sz w:val="22"/>
      </w:rPr>
    </w:tblStylePr>
  </w:style>
  <w:style w:type="table" w:customStyle="1"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band1Horz">
      <w:rPr>
        <w:rFonts w:ascii="Arial" w:hAnsi="Arial"/>
        <w:color w:val="000000" w:themeColor="text1"/>
        <w:sz w:val="22"/>
      </w:rPr>
      <w:tblPr/>
      <w:tcPr>
        <w:shd w:val="clear" w:color="BFBFBF" w:fill="auto" w:themeColor="text1" w:themeTint="40"/>
      </w:tcPr>
    </w:tblStylePr>
    <w:tblStylePr w:type="band1Vert">
      <w:tblPr/>
      <w:tcPr>
        <w:shd w:val="clear" w:color="BFBFBF" w:fill="auto" w:themeColor="text1" w:theme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blPr/>
      <w:tcPr>
        <w:tcBorders>
          <w:bottom w:val="single" w:sz="4" w:space="0" w:color="7F7F7F" w:themeColor="text1" w:themeTint="80"/>
        </w:tcBorders>
      </w:tcPr>
    </w:tblStylePr>
    <w:tblStylePr w:type="lastCol">
      <w:rPr>
        <w:b/>
        <w:color w:val="000000" w:themeColor="text1"/>
      </w:rPr>
    </w:tblStylePr>
    <w:tblStylePr w:type="lastRow">
      <w:rPr>
        <w:b/>
        <w:color w:val="000000" w:themeColor="text1"/>
      </w:rPr>
      <w:tblPr/>
      <w:tcPr>
        <w:tcBorders>
          <w:top w:val="single" w:sz="4" w:space="0" w:color="7F7F7F" w:themeColor="text1" w:themeTint="80"/>
        </w:tcBorders>
      </w:tcPr>
    </w:tblStylePr>
  </w:style>
  <w:style w:type="table" w:customStyle="1"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band1Horz">
      <w:rPr>
        <w:rFonts w:ascii="Arial" w:hAnsi="Arial"/>
        <w:color w:val="7F7F7F" w:themeColor="text1" w:themeShade="95" w:themeTint="80"/>
        <w:sz w:val="22"/>
      </w:rPr>
      <w:tblPr/>
      <w:tcPr>
        <w:shd w:val="clear" w:color="BFBFBF" w:fill="auto" w:themeColor="text1" w:themeTint="40"/>
      </w:tcPr>
    </w:tblStylePr>
    <w:tblStylePr w:type="band1Vert">
      <w:tblPr/>
      <w:tcPr>
        <w:shd w:val="clear" w:color="BFBFBF" w:fill="auto" w:themeColor="text1" w:themeTint="40"/>
      </w:tcPr>
    </w:tblStylePr>
    <w:tblStylePr w:type="band2Horz">
      <w:rPr>
        <w:rFonts w:ascii="Arial" w:hAnsi="Arial"/>
        <w:color w:val="7F7F7F" w:themeColor="text1" w:themeShade="95" w:themeTint="80"/>
        <w:sz w:val="22"/>
      </w:r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style>
  <w:style w:type="character" w:customStyle="1" w:styleId="FootnoteTextChar">
    <w:name w:val="Footnote Text Char"/>
    <w:uiPriority w:val="99"/>
    <w:rPr>
      <w:sz w:val="18"/>
    </w:rPr>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character" w:customStyle="1" w:styleId="1">
    <w:name w:val="Заголовок 1 Знак"/>
    <w:link w:val="Heading1"/>
    <w:uiPriority w:val="9"/>
    <w:rPr>
      <w:rFonts w:ascii="Arial" w:eastAsia="Arial" w:hAnsi="Arial"/>
      <w:sz w:val="40"/>
      <w:szCs w:val="40"/>
      <w:lang w:bidi="ar-SA"/>
    </w:rPr>
  </w:style>
  <w:style w:type="character" w:customStyle="1" w:styleId="2">
    <w:name w:val="Заголовок 2 Знак"/>
    <w:link w:val="Heading2"/>
    <w:uiPriority w:val="9"/>
    <w:rPr>
      <w:rFonts w:ascii="Arial" w:eastAsia="Arial" w:hAnsi="Arial"/>
      <w:sz w:val="34"/>
      <w:lang w:bidi="ar-SA"/>
    </w:rPr>
  </w:style>
  <w:style w:type="character" w:customStyle="1" w:styleId="3">
    <w:name w:val="Заголовок 3 Знак"/>
    <w:link w:val="Heading3"/>
    <w:uiPriority w:val="9"/>
    <w:rPr>
      <w:rFonts w:ascii="Arial" w:eastAsia="Arial" w:hAnsi="Arial"/>
      <w:sz w:val="30"/>
      <w:szCs w:val="30"/>
      <w:lang w:bidi="ar-SA"/>
    </w:rPr>
  </w:style>
  <w:style w:type="character" w:customStyle="1" w:styleId="4">
    <w:name w:val="Заголовок 4 Знак"/>
    <w:link w:val="Heading4"/>
    <w:uiPriority w:val="9"/>
    <w:rPr>
      <w:rFonts w:ascii="Arial" w:eastAsia="Arial" w:hAnsi="Arial"/>
      <w:b/>
      <w:bCs/>
      <w:sz w:val="26"/>
      <w:szCs w:val="26"/>
      <w:lang w:bidi="ar-SA"/>
    </w:rPr>
  </w:style>
  <w:style w:type="character" w:customStyle="1" w:styleId="5">
    <w:name w:val="Заголовок 5 Знак"/>
    <w:link w:val="Heading5"/>
    <w:uiPriority w:val="9"/>
    <w:rPr>
      <w:rFonts w:ascii="Arial" w:eastAsia="Arial" w:hAnsi="Arial"/>
      <w:b/>
      <w:bCs/>
      <w:sz w:val="24"/>
      <w:szCs w:val="24"/>
      <w:lang w:bidi="ar-SA"/>
    </w:rPr>
  </w:style>
  <w:style w:type="character" w:customStyle="1" w:styleId="6">
    <w:name w:val="Заголовок 6 Знак"/>
    <w:link w:val="Heading6"/>
    <w:uiPriority w:val="9"/>
    <w:rPr>
      <w:rFonts w:ascii="Arial" w:eastAsia="Arial" w:hAnsi="Arial"/>
      <w:b/>
      <w:bCs/>
      <w:sz w:val="22"/>
      <w:szCs w:val="22"/>
      <w:lang w:bidi="ar-SA"/>
    </w:rPr>
  </w:style>
  <w:style w:type="character" w:customStyle="1" w:styleId="7">
    <w:name w:val="Заголовок 7 Знак"/>
    <w:link w:val="Heading7"/>
    <w:uiPriority w:val="9"/>
    <w:rPr>
      <w:rFonts w:ascii="Arial" w:eastAsia="Arial" w:hAnsi="Arial"/>
      <w:b/>
      <w:bCs/>
      <w:i/>
      <w:iCs/>
      <w:sz w:val="22"/>
      <w:szCs w:val="22"/>
      <w:lang w:bidi="ar-SA"/>
    </w:rPr>
  </w:style>
  <w:style w:type="character" w:customStyle="1" w:styleId="8">
    <w:name w:val="Заголовок 8 Знак"/>
    <w:link w:val="Heading8"/>
    <w:uiPriority w:val="9"/>
    <w:rPr>
      <w:rFonts w:ascii="Arial" w:eastAsia="Arial" w:hAnsi="Arial"/>
      <w:i/>
      <w:iCs/>
      <w:sz w:val="22"/>
      <w:szCs w:val="22"/>
      <w:lang w:bidi="ar-SA"/>
    </w:rPr>
  </w:style>
  <w:style w:type="character" w:customStyle="1" w:styleId="9">
    <w:name w:val="Заголовок 9 Знак"/>
    <w:link w:val="Heading9"/>
    <w:uiPriority w:val="9"/>
    <w:rPr>
      <w:rFonts w:ascii="Arial" w:eastAsia="Arial" w:hAnsi="Arial"/>
      <w:i/>
      <w:iCs/>
      <w:sz w:val="21"/>
      <w:szCs w:val="21"/>
      <w:lang w:bidi="ar-SA"/>
    </w:rPr>
  </w:style>
  <w:style w:type="paragraph" w:styleId="ListParagraph">
    <w:name w:val="List Paragraph"/>
    <w:uiPriority w:val="34"/>
    <w:qFormat/>
    <w:pPr>
      <w:pBdr>
        <w:top w:val="nil"/>
        <w:left w:val="nil"/>
        <w:bottom w:val="nil"/>
        <w:right w:val="nil"/>
        <w:between w:val="nil"/>
      </w:pBdr>
      <w:ind w:left="720"/>
      <w:contextualSpacing/>
    </w:pPr>
    <w:rPr>
      <w:sz w:val="22"/>
      <w:szCs w:val="22"/>
      <w:lang w:eastAsia="en-US" w:bidi="en-US"/>
    </w:rPr>
  </w:style>
  <w:style w:type="paragraph" w:styleId="NoSpacing">
    <w:name w:val="No Spacing"/>
    <w:uiPriority w:val="1"/>
    <w:qFormat/>
    <w:pPr>
      <w:pBdr>
        <w:top w:val="nil"/>
        <w:left w:val="nil"/>
        <w:bottom w:val="nil"/>
        <w:right w:val="nil"/>
        <w:between w:val="nil"/>
      </w:pBdr>
    </w:pPr>
    <w:rPr>
      <w:sz w:val="22"/>
      <w:szCs w:val="22"/>
      <w:lang w:eastAsia="en-US" w:bidi="en-US"/>
    </w:rPr>
  </w:style>
  <w:style w:type="paragraph" w:styleId="Title">
    <w:name w:val="Title"/>
    <w:link w:val="a0"/>
    <w:uiPriority w:val="10"/>
    <w:qFormat/>
    <w:pPr>
      <w:pBdr>
        <w:top w:val="nil"/>
        <w:left w:val="nil"/>
        <w:bottom w:val="nil"/>
        <w:right w:val="nil"/>
        <w:between w:val="nil"/>
      </w:pBdr>
      <w:spacing w:before="300" w:after="200"/>
      <w:contextualSpacing/>
    </w:pPr>
    <w:rPr>
      <w:sz w:val="48"/>
      <w:szCs w:val="48"/>
    </w:rPr>
  </w:style>
  <w:style w:type="character" w:customStyle="1" w:styleId="a0">
    <w:name w:val="Название Знак"/>
    <w:link w:val="Title"/>
    <w:uiPriority w:val="10"/>
    <w:rPr>
      <w:sz w:val="48"/>
      <w:szCs w:val="48"/>
      <w:lang w:bidi="ar-SA"/>
    </w:rPr>
  </w:style>
  <w:style w:type="paragraph" w:styleId="Subtitle">
    <w:name w:val="Subtitle"/>
    <w:link w:val="a1"/>
    <w:uiPriority w:val="11"/>
    <w:qFormat/>
    <w:pPr>
      <w:pBdr>
        <w:top w:val="nil"/>
        <w:left w:val="nil"/>
        <w:bottom w:val="nil"/>
        <w:right w:val="nil"/>
        <w:between w:val="nil"/>
      </w:pBdr>
      <w:spacing w:before="200" w:after="200"/>
    </w:pPr>
    <w:rPr>
      <w:sz w:val="24"/>
      <w:szCs w:val="24"/>
    </w:rPr>
  </w:style>
  <w:style w:type="character" w:customStyle="1" w:styleId="a1">
    <w:name w:val="Подзаголовок Знак"/>
    <w:link w:val="Subtitle"/>
    <w:uiPriority w:val="11"/>
    <w:rPr>
      <w:sz w:val="24"/>
      <w:szCs w:val="24"/>
      <w:lang w:bidi="ar-SA"/>
    </w:rPr>
  </w:style>
  <w:style w:type="paragraph" w:styleId="Quote">
    <w:name w:val="Quote"/>
    <w:link w:val="20"/>
    <w:uiPriority w:val="29"/>
    <w:qFormat/>
    <w:pPr>
      <w:pBdr>
        <w:top w:val="nil"/>
        <w:left w:val="nil"/>
        <w:bottom w:val="nil"/>
        <w:right w:val="nil"/>
        <w:between w:val="nil"/>
      </w:pBdr>
      <w:ind w:left="720" w:right="720"/>
    </w:pPr>
    <w:rPr>
      <w:i/>
    </w:rPr>
  </w:style>
  <w:style w:type="character" w:customStyle="1" w:styleId="20">
    <w:name w:val="Цитата 2 Знак"/>
    <w:link w:val="Quote"/>
    <w:uiPriority w:val="29"/>
    <w:rPr>
      <w:i/>
      <w:lang w:val="ru-RU" w:eastAsia="ru-RU" w:bidi="ar-SA"/>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2">
    <w:name w:val="Выделенная цитата Знак"/>
    <w:link w:val="IntenseQuote"/>
    <w:uiPriority w:val="30"/>
    <w:rPr>
      <w:i/>
      <w:shd w:val="clear" w:color="auto" w:fill="F2F2F2"/>
      <w:lang w:val="ru-RU" w:eastAsia="ru-RU" w:bidi="ar-SA"/>
    </w:rPr>
  </w:style>
  <w:style w:type="paragraph" w:styleId="Header">
    <w:name w:val="header"/>
    <w:basedOn w:val="Normal"/>
    <w:link w:val="a3"/>
    <w:uiPriority w:val="99"/>
    <w:pPr>
      <w:tabs>
        <w:tab w:val="center" w:pos="4153"/>
        <w:tab w:val="right" w:pos="8306"/>
      </w:tabs>
      <w:spacing w:before="120" w:after="240"/>
      <w:jc w:val="center"/>
    </w:pPr>
    <w:rPr>
      <w:b/>
      <w:caps/>
      <w:sz w:val="28"/>
    </w:rPr>
  </w:style>
  <w:style w:type="character" w:customStyle="1" w:styleId="a3">
    <w:name w:val="Верхний колонтитул Знак"/>
    <w:link w:val="Header"/>
    <w:uiPriority w:val="99"/>
  </w:style>
  <w:style w:type="paragraph" w:styleId="Footer">
    <w:name w:val="footer"/>
    <w:basedOn w:val="Normal"/>
    <w:link w:val="a4"/>
    <w:uiPriority w:val="99"/>
    <w:pPr>
      <w:tabs>
        <w:tab w:val="center" w:pos="4153"/>
        <w:tab w:val="right" w:pos="8306"/>
      </w:tabs>
    </w:pPr>
  </w:style>
  <w:style w:type="character" w:customStyle="1" w:styleId="a4">
    <w:name w:val="Нижний колонтитул Знак"/>
    <w:link w:val="Footer"/>
    <w:uiPriority w:val="99"/>
  </w:style>
  <w:style w:type="table" w:styleId="TableGrid">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
    <w:name w:val="Таблица простая 21"/>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
    <w:name w:val="Таблица простая 3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Hyperlink">
    <w:name w:val="Hyperlink"/>
    <w:uiPriority w:val="99"/>
    <w:unhideWhenUsed/>
    <w:rPr>
      <w:color w:val="0000FF"/>
      <w:u w:val="single"/>
    </w:rPr>
  </w:style>
  <w:style w:type="paragraph" w:styleId="FootnoteText">
    <w:name w:val="footnote text"/>
    <w:link w:val="a5"/>
    <w:uiPriority w:val="99"/>
    <w:semiHidden/>
    <w:unhideWhenUsed/>
    <w:pPr>
      <w:pBdr>
        <w:top w:val="nil"/>
        <w:left w:val="nil"/>
        <w:bottom w:val="nil"/>
        <w:right w:val="nil"/>
        <w:between w:val="nil"/>
      </w:pBdr>
      <w:spacing w:after="40"/>
    </w:pPr>
    <w:rPr>
      <w:sz w:val="18"/>
    </w:rPr>
  </w:style>
  <w:style w:type="character" w:customStyle="1" w:styleId="a5">
    <w:name w:val="Текст сноски Знак"/>
    <w:link w:val="FootnoteText"/>
    <w:uiPriority w:val="99"/>
    <w:semiHidden/>
    <w:rPr>
      <w:sz w:val="18"/>
      <w:lang w:bidi="ar-SA"/>
    </w:rPr>
  </w:style>
  <w:style w:type="character" w:styleId="FootnoteReference">
    <w:name w:val="footnote reference"/>
    <w:uiPriority w:val="99"/>
    <w:unhideWhenUsed/>
    <w:rPr>
      <w:vertAlign w:val="superscript"/>
    </w:rPr>
  </w:style>
  <w:style w:type="paragraph" w:styleId="TOC1">
    <w:name w:val="toc 1"/>
    <w:uiPriority w:val="39"/>
    <w:unhideWhenUsed/>
    <w:pPr>
      <w:pBdr>
        <w:top w:val="nil"/>
        <w:left w:val="nil"/>
        <w:bottom w:val="nil"/>
        <w:right w:val="nil"/>
        <w:between w:val="nil"/>
      </w:pBdr>
      <w:spacing w:after="57"/>
    </w:pPr>
    <w:rPr>
      <w:sz w:val="22"/>
      <w:szCs w:val="22"/>
      <w:lang w:eastAsia="en-US" w:bidi="en-US"/>
    </w:rPr>
  </w:style>
  <w:style w:type="paragraph" w:styleId="TOC2">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TOC3">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TOC4">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TOC5">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TOC6">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TOC7">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TOC8">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TOC9">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TOCHeading">
    <w:name w:val="TOC Heading"/>
    <w:uiPriority w:val="39"/>
    <w:unhideWhenUsed/>
    <w:pPr>
      <w:pBdr>
        <w:top w:val="nil"/>
        <w:left w:val="nil"/>
        <w:bottom w:val="nil"/>
        <w:right w:val="nil"/>
        <w:between w:val="nil"/>
      </w:pBdr>
    </w:pPr>
    <w:rPr>
      <w:sz w:val="22"/>
      <w:szCs w:val="22"/>
      <w:lang w:eastAsia="en-US" w:bidi="en-US"/>
    </w:rPr>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6">
    <w:name w:val="Обращение"/>
    <w:basedOn w:val="Normal"/>
    <w:next w:val="Normal"/>
    <w:pPr>
      <w:spacing w:before="240" w:after="120"/>
      <w:jc w:val="center"/>
    </w:pPr>
    <w:rPr>
      <w:b/>
    </w:rPr>
  </w:style>
  <w:style w:type="paragraph" w:customStyle="1" w:styleId="a7">
    <w:name w:val="Адресные реквизиты"/>
    <w:basedOn w:val="BodyText"/>
    <w:next w:val="BodyText"/>
    <w:pPr>
      <w:jc w:val="left"/>
    </w:pPr>
    <w:rPr>
      <w:sz w:val="16"/>
    </w:rPr>
  </w:style>
  <w:style w:type="paragraph" w:customStyle="1" w:styleId="a8">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paragraph" w:styleId="BalloonText">
    <w:name w:val="Balloon Text"/>
    <w:basedOn w:val="Normal"/>
    <w:link w:val="a9"/>
    <w:uiPriority w:val="99"/>
    <w:semiHidden/>
    <w:unhideWhenUsed/>
    <w:rPr>
      <w:rFonts w:ascii="Tahoma" w:hAnsi="Tahoma"/>
      <w:sz w:val="16"/>
      <w:szCs w:val="16"/>
      <w:lang w:bidi="ar-SA"/>
    </w:rPr>
  </w:style>
  <w:style w:type="character" w:customStyle="1" w:styleId="a9">
    <w:name w:val="Текст выноски Знак"/>
    <w:link w:val="BalloonText"/>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BodyTextIndent">
    <w:name w:val="Body Text Indent"/>
    <w:basedOn w:val="Normal"/>
    <w:link w:val="a10"/>
    <w:uiPriority w:val="99"/>
    <w:semiHidden/>
    <w:unhideWhenUsed/>
    <w:pPr>
      <w:spacing w:after="120"/>
      <w:ind w:left="283"/>
    </w:pPr>
  </w:style>
  <w:style w:type="character" w:customStyle="1" w:styleId="a10">
    <w:name w:val="Основной текст с отступом Знак"/>
    <w:link w:val="BodyTextIndent"/>
    <w:uiPriority w:val="99"/>
    <w:semiHidden/>
    <w:rPr>
      <w:sz w:val="22"/>
      <w:szCs w:val="22"/>
      <w:lang w:eastAsia="en-US" w:bidi="en-US"/>
    </w:rPr>
  </w:style>
  <w:style w:type="paragraph" w:customStyle="1" w:styleId="ConsPlusTitle">
    <w:name w:val="ConsPlusTitle"/>
    <w:qFormat/>
    <w:pPr>
      <w:widowControl w:val="0"/>
      <w:pBdr>
        <w:top w:val="nil"/>
        <w:left w:val="nil"/>
        <w:bottom w:val="nil"/>
        <w:right w:val="nil"/>
        <w:between w:val="nil"/>
      </w:pBdr>
    </w:pPr>
    <w:rPr>
      <w:rFonts w:eastAsia="Noto Serif CJK SC" w:cs="FreeSans"/>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consultantplus://offline/ref=D523E86BA2935134C04978F4A5A7A36278CB6038695CAE4F6FAE2C82C3978C9DE5BB2B67819AD8DD788CB1A1gFF" TargetMode="External" /><Relationship Id="rId5" Type="http://schemas.openxmlformats.org/officeDocument/2006/relationships/hyperlink" Target="consultantplus://offline/ref=D523E86BA2935134C04978F4A5A7A36278CB6038695CAE4F6FAE2C82C3978C9DE5BB2B67819AD8DD788CB6A1gFF" TargetMode="External" /><Relationship Id="rId6" Type="http://schemas.openxmlformats.org/officeDocument/2006/relationships/hyperlink" Target="https://login.consultant.ru/link/?req=doc&amp;base=RLAW049&amp;n=175638&amp;dst=100096" TargetMode="External" /><Relationship Id="rId7" Type="http://schemas.openxmlformats.org/officeDocument/2006/relationships/hyperlink" Target="consultantplus://offline/ref=2EBF21FFDA401284AC5476D743A9072C55839A56CB0626B4476481AFB2130A68P0ACI" TargetMode="External" /><Relationship Id="rId8" Type="http://schemas.openxmlformats.org/officeDocument/2006/relationships/header" Target="header1.xml" /><Relationship Id="rId9" Type="http://schemas.openxmlformats.org/officeDocument/2006/relationships/header" Target="header2.xml"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revision>54</cp:revision>
  <dcterms:created xsi:type="dcterms:W3CDTF">2023-07-12T03:10:00Z</dcterms:created>
  <dcterms:modified xsi:type="dcterms:W3CDTF">2026-02-17T04:03:45Z</dcterms:modified>
</cp:coreProperties>
</file>