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noWrap w:val="0"/>
            <w:textDirection w:val="lrTb"/>
          </w:tcPr>
          <w:p>
            <w:pPr>
              <w:pStyle w:val="BodyText2"/>
              <w:pBdr>
                <w:top w:val="nil"/>
                <w:left w:val="nil"/>
                <w:bottom w:val="nil"/>
                <w:right w:val="nil"/>
                <w:between w:val="nil"/>
              </w:pBdr>
              <w:spacing w:before="480"/>
              <w:ind w:right="0"/>
              <w:jc w:val="left"/>
              <w:rPr>
                <w:rFonts w:ascii="PT Astra Serif" w:eastAsia="PT Astra Serif" w:hAnsi="PT Astra Serif" w:cs="PT Astra Serif"/>
                <w:sz w:val="28"/>
                <w:szCs w:val="28"/>
              </w:rPr>
            </w:pPr>
            <w:bookmarkStart w:id="0" w:name="РегДанные"/>
            <w:r>
              <w:rPr>
                <w:rFonts w:ascii="PT Astra Serif" w:eastAsia="PT Astra Serif" w:hAnsi="PT Astra Serif" w:cs="PT Astra Serif"/>
                <w:spacing w:val="20"/>
                <w:sz w:val="28"/>
                <w:szCs w:val="28"/>
              </w:rPr>
              <w:t>17.02.2026</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noWrap w:val="0"/>
            <w:tcMar>
              <w:right w:w="85" w:type="dxa"/>
            </w:tcMar>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p>
        </w:tc>
        <w:tc>
          <w:tcPr>
            <w:tcW w:w="2268" w:type="dxa"/>
            <w:tcBorders>
              <w:bottom w:val="nil"/>
            </w:tcBorders>
            <w:noWrap w:val="0"/>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6</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1"/>
          </w:p>
        </w:tc>
      </w:tr>
    </w:tbl>
    <w:p>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Об утверждении условий эмиссии и обращения облигаций</w:t>
      </w:r>
    </w:p>
    <w:p>
      <w:pPr>
        <w:pStyle w:val="ConsPlusNormal"/>
        <w:jc w:val="center"/>
        <w:rPr>
          <w:rFonts w:ascii="PT Astra Serif" w:hAnsi="PT Astra Serif" w:cs="Times New Roman"/>
          <w:sz w:val="28"/>
          <w:szCs w:val="28"/>
        </w:rPr>
      </w:pPr>
      <w:r>
        <w:rPr>
          <w:rFonts w:ascii="PT Astra Serif" w:hAnsi="PT Astra Serif" w:cs="Times New Roman"/>
          <w:sz w:val="28"/>
          <w:szCs w:val="28"/>
        </w:rPr>
        <w:t>биржевого внутреннего займа Томской области 2026 года</w:t>
      </w:r>
    </w:p>
    <w:p>
      <w:pPr>
        <w:pStyle w:val="ConsPlusNormal"/>
        <w:jc w:val="center"/>
        <w:rPr>
          <w:rFonts w:ascii="PT Astra Serif" w:hAnsi="PT Astra Serif" w:cs="Times New Roman"/>
          <w:sz w:val="28"/>
          <w:szCs w:val="28"/>
        </w:rPr>
      </w:pPr>
      <w:r>
        <w:rPr>
          <w:rFonts w:ascii="PT Astra Serif" w:hAnsi="PT Astra Serif" w:cs="Times New Roman"/>
          <w:sz w:val="28"/>
          <w:szCs w:val="28"/>
        </w:rPr>
        <w:t>с переменным купонным доходом и амортизацией долга</w:t>
      </w:r>
    </w:p>
    <w:p>
      <w:pPr>
        <w:pStyle w:val="ConsPlusNormal"/>
        <w:ind w:firstLine="540"/>
        <w:jc w:val="both"/>
        <w:rPr>
          <w:rFonts w:ascii="PT Astra Serif" w:hAnsi="PT Astra Serif" w:cs="Times New Roman"/>
          <w:sz w:val="28"/>
          <w:szCs w:val="28"/>
        </w:rPr>
      </w:pPr>
    </w:p>
    <w:p>
      <w:pPr>
        <w:pStyle w:val="ConsPlusNormal"/>
        <w:ind w:firstLine="540"/>
        <w:jc w:val="both"/>
        <w:rPr>
          <w:rFonts w:ascii="PT Astra Serif" w:hAnsi="PT Astra Serif" w:cs="Times New Roman"/>
          <w:sz w:val="28"/>
          <w:szCs w:val="28"/>
        </w:rPr>
      </w:pPr>
    </w:p>
    <w:p>
      <w:pPr>
        <w:ind w:firstLine="708"/>
        <w:jc w:val="both"/>
        <w:rPr>
          <w:rFonts w:ascii="PT Astra Serif" w:hAnsi="PT Astra Serif"/>
          <w:sz w:val="26"/>
          <w:szCs w:val="26"/>
        </w:rPr>
      </w:pPr>
      <w:r>
        <w:rPr>
          <w:rFonts w:ascii="PT Astra Serif" w:hAnsi="PT Astra Serif"/>
          <w:sz w:val="28"/>
          <w:szCs w:val="28"/>
        </w:rPr>
        <w:t>В соответствии со статьей</w:t>
      </w:r>
      <w:r>
        <w:rPr>
          <w:rFonts w:ascii="PT Astra Serif" w:hAnsi="PT Astra Serif"/>
          <w:sz w:val="28"/>
          <w:szCs w:val="28"/>
          <w:vertAlign w:val="superscript"/>
        </w:rPr>
        <w:t xml:space="preserve"> </w:t>
      </w:r>
      <w:r>
        <w:rPr>
          <w:rFonts w:ascii="PT Astra Serif" w:hAnsi="PT Astra Serif"/>
          <w:sz w:val="28"/>
          <w:szCs w:val="28"/>
        </w:rPr>
        <w:t>121</w:t>
      </w:r>
      <w:r>
        <w:rPr>
          <w:rFonts w:ascii="PT Astra Serif" w:hAnsi="PT Astra Serif"/>
          <w:sz w:val="28"/>
          <w:szCs w:val="28"/>
          <w:vertAlign w:val="superscript"/>
        </w:rPr>
        <w:t>6</w:t>
      </w:r>
      <w:r>
        <w:rPr>
          <w:rFonts w:ascii="PT Astra Serif" w:hAnsi="PT Astra Serif"/>
          <w:sz w:val="28"/>
          <w:szCs w:val="28"/>
        </w:rPr>
        <w:t xml:space="preserve"> Бюджетного кодекса Российской Федерации, Генеральными </w:t>
      </w:r>
      <w:hyperlink r:id="rId4" w:tooltip="consultantplus://offline/ref=D523E86BA2935134C04978F4A5A7A36278CB6038695CAE4F6FAE2C82C3978C9DE5BB2B67819AD8DD788CB1A1gFF" w:history="1">
        <w:r>
          <w:rPr>
            <w:rFonts w:ascii="PT Astra Serif" w:hAnsi="PT Astra Serif"/>
            <w:sz w:val="28"/>
            <w:szCs w:val="28"/>
          </w:rPr>
          <w:t>условиями</w:t>
        </w:r>
      </w:hyperlink>
      <w:r>
        <w:rPr>
          <w:rFonts w:ascii="PT Astra Serif" w:hAnsi="PT Astra Serif"/>
          <w:sz w:val="28"/>
          <w:szCs w:val="28"/>
        </w:rP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 161а «О выпуске облигаций биржевого внутреннего займа»,</w:t>
      </w:r>
    </w:p>
    <w:p>
      <w:pPr>
        <w:pStyle w:val="ConsPlusNormal"/>
        <w:ind w:right="-141" w:firstLine="709"/>
        <w:jc w:val="both"/>
        <w:rPr>
          <w:rFonts w:ascii="PT Astra Serif" w:hAnsi="PT Astra Serif"/>
          <w:sz w:val="26"/>
          <w:szCs w:val="26"/>
        </w:rPr>
      </w:pPr>
      <w:r>
        <w:rPr>
          <w:rFonts w:ascii="PT Astra Serif" w:hAnsi="PT Astra Serif"/>
          <w:sz w:val="28"/>
          <w:szCs w:val="28"/>
        </w:rPr>
        <w:t>ПРИКАЗЫВАЮ:</w:t>
      </w:r>
    </w:p>
    <w:p>
      <w:pPr>
        <w:pStyle w:val="ConsPlusNormal"/>
        <w:ind w:firstLine="709"/>
        <w:jc w:val="both"/>
        <w:rPr>
          <w:rFonts w:ascii="PT Astra Serif" w:hAnsi="PT Astra Serif"/>
          <w:sz w:val="26"/>
          <w:szCs w:val="26"/>
        </w:rPr>
      </w:pPr>
      <w:r>
        <w:rPr>
          <w:rFonts w:ascii="PT Astra Serif" w:hAnsi="PT Astra Serif"/>
          <w:sz w:val="28"/>
          <w:szCs w:val="28"/>
        </w:rPr>
        <w:t xml:space="preserve">1. Утвердить прилагаемые </w:t>
      </w:r>
      <w:hyperlink w:anchor="P31" w:tooltip="#P31" w:history="1">
        <w:r>
          <w:rPr>
            <w:rFonts w:ascii="PT Astra Serif" w:hAnsi="PT Astra Serif"/>
            <w:sz w:val="28"/>
            <w:szCs w:val="28"/>
          </w:rPr>
          <w:t>условия</w:t>
        </w:r>
      </w:hyperlink>
      <w:r>
        <w:rPr>
          <w:rFonts w:ascii="PT Astra Serif" w:hAnsi="PT Astra Serif"/>
          <w:sz w:val="28"/>
          <w:szCs w:val="28"/>
        </w:rPr>
        <w:t xml:space="preserve"> эмиссии и обращения облигаций биржевого внутреннего займа Томской области 2026 года с </w:t>
      </w:r>
      <w:r>
        <w:rPr>
          <w:rFonts w:ascii="PT Astra Serif" w:hAnsi="PT Astra Serif"/>
          <w:bCs/>
          <w:sz w:val="28"/>
          <w:szCs w:val="28"/>
        </w:rPr>
        <w:t>переменным</w:t>
      </w:r>
      <w:r>
        <w:rPr>
          <w:rFonts w:ascii="PT Astra Serif" w:hAnsi="PT Astra Serif"/>
          <w:sz w:val="28"/>
          <w:szCs w:val="28"/>
        </w:rPr>
        <w:t xml:space="preserve"> купонным доходом и амортизацией долга.</w:t>
      </w:r>
    </w:p>
    <w:p>
      <w:pPr>
        <w:pStyle w:val="ConsPlusNormal"/>
        <w:ind w:firstLine="709"/>
        <w:jc w:val="both"/>
        <w:rPr>
          <w:rFonts w:ascii="PT Astra Serif" w:hAnsi="PT Astra Serif"/>
          <w:sz w:val="26"/>
          <w:szCs w:val="26"/>
        </w:rPr>
      </w:pPr>
      <w:r>
        <w:rPr>
          <w:rFonts w:ascii="PT Astra Serif" w:hAnsi="PT Astra Serif"/>
          <w:sz w:val="28"/>
          <w:szCs w:val="28"/>
        </w:rPr>
        <w:t>2. Настоящий приказ вступает в силу со дня его официального опубликования.</w:t>
      </w:r>
    </w:p>
    <w:p>
      <w:pPr>
        <w:pStyle w:val="ConsPlusNormal"/>
        <w:ind w:firstLine="709"/>
        <w:jc w:val="both"/>
        <w:rPr>
          <w:rFonts w:ascii="PT Astra Serif" w:hAnsi="PT Astra Serif" w:cs="Times New Roman"/>
          <w:sz w:val="28"/>
          <w:szCs w:val="28"/>
        </w:rPr>
      </w:pPr>
      <w:r>
        <w:rPr>
          <w:rFonts w:ascii="PT Astra Serif" w:hAnsi="PT Astra Serif"/>
          <w:sz w:val="28"/>
          <w:szCs w:val="28"/>
        </w:rPr>
        <w:t xml:space="preserve">3. Контроль за исполнением настоящего приказа возложить на заместителя начальника Департамента финансов Томской области </w:t>
      </w:r>
      <w:r>
        <w:rPr>
          <w:rFonts w:ascii="PT Astra Serif" w:hAnsi="PT Astra Serif"/>
          <w:sz w:val="28"/>
          <w:szCs w:val="28"/>
        </w:rPr>
        <w:t>Сидонскую</w:t>
      </w:r>
      <w:r>
        <w:rPr>
          <w:rFonts w:ascii="PT Astra Serif" w:hAnsi="PT Astra Serif"/>
          <w:sz w:val="28"/>
          <w:szCs w:val="28"/>
        </w:rPr>
        <w:t xml:space="preserve"> Я.В.</w:t>
      </w:r>
    </w:p>
    <w:p>
      <w:pPr>
        <w:pStyle w:val="ConsPlusNormal"/>
        <w:ind w:firstLine="709"/>
        <w:jc w:val="both"/>
        <w:rPr>
          <w:rFonts w:ascii="PT Astra Serif" w:hAnsi="PT Astra Serif" w:cs="Times New Roman"/>
          <w:sz w:val="28"/>
          <w:szCs w:val="28"/>
        </w:rPr>
      </w:pPr>
    </w:p>
    <w:p>
      <w:pPr>
        <w:pStyle w:val="ConsPlusNormal"/>
        <w:ind w:firstLine="709"/>
        <w:jc w:val="both"/>
        <w:rPr>
          <w:rFonts w:ascii="PT Astra Serif" w:hAnsi="PT Astra Serif" w:cs="Times New Roman"/>
          <w:sz w:val="28"/>
          <w:szCs w:val="28"/>
          <w:lang w:val="en-US"/>
        </w:rPr>
      </w:pPr>
    </w:p>
    <w:p>
      <w:pPr>
        <w:pStyle w:val="ConsPlusNormal"/>
        <w:ind w:firstLine="709"/>
        <w:jc w:val="both"/>
        <w:rPr>
          <w:rFonts w:ascii="PT Astra Serif" w:hAnsi="PT Astra Serif" w:cs="Times New Roman"/>
          <w:sz w:val="28"/>
          <w:szCs w:val="28"/>
          <w:lang w:val="en-US"/>
        </w:rPr>
      </w:pPr>
    </w:p>
    <w:tbl>
      <w:tblPr>
        <w:tblW w:w="9889" w:type="dxa"/>
        <w:tblLayout w:type="fixed"/>
        <w:tblLook w:val="04A0"/>
      </w:tblPr>
      <w:tblGrid>
        <w:gridCol w:w="3543"/>
        <w:gridCol w:w="3118"/>
        <w:gridCol w:w="3228"/>
      </w:tblGrid>
      <w:tr>
        <w:tblPrEx>
          <w:tblW w:w="9889" w:type="dxa"/>
          <w:tblLayout w:type="fixed"/>
          <w:tblLook w:val="04A0"/>
        </w:tblPrEx>
        <w:tc>
          <w:tcPr>
            <w:tcW w:w="3543" w:type="dxa"/>
            <w:tcBorders>
              <w:top w:val="nil"/>
              <w:left w:val="nil"/>
              <w:bottom w:val="nil"/>
              <w:right w:val="nil"/>
            </w:tcBorders>
            <w:noWrap/>
            <w:textDirection w:val="lrTb"/>
          </w:tcPr>
          <w:p>
            <w:pPr>
              <w:tabs>
                <w:tab w:val="left" w:pos="7088"/>
              </w:tabs>
              <w:jc w:val="both"/>
            </w:pPr>
            <w:r>
              <w:rPr>
                <w:rFonts w:ascii="PT Astra Serif" w:hAnsi="PT Astra Serif"/>
                <w:sz w:val="28"/>
                <w:szCs w:val="28"/>
              </w:rPr>
              <w:t>Заместитель Губернатора Томской области -</w:t>
            </w:r>
          </w:p>
          <w:p>
            <w:pPr>
              <w:tabs>
                <w:tab w:val="left" w:pos="7088"/>
              </w:tabs>
              <w:jc w:val="both"/>
            </w:pPr>
            <w:r>
              <w:rPr>
                <w:rFonts w:ascii="PT Astra Serif" w:hAnsi="PT Astra Serif"/>
                <w:sz w:val="28"/>
                <w:szCs w:val="28"/>
              </w:rPr>
              <w:t>начальник Департамента финансов Томской области</w:t>
            </w:r>
          </w:p>
        </w:tc>
        <w:tc>
          <w:tcPr>
            <w:tcW w:w="3118" w:type="dxa"/>
            <w:tcBorders>
              <w:top w:val="nil"/>
              <w:left w:val="nil"/>
              <w:bottom w:val="nil"/>
              <w:right w:val="nil"/>
            </w:tcBorders>
            <w:noWrap/>
            <w:textDirection w:val="lrTb"/>
          </w:tcPr>
          <w:p>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2"/>
          </w:p>
        </w:tc>
        <w:tc>
          <w:tcPr>
            <w:tcW w:w="3228" w:type="dxa"/>
            <w:tcBorders>
              <w:top w:val="nil"/>
              <w:left w:val="nil"/>
              <w:bottom w:val="nil"/>
              <w:right w:val="nil"/>
            </w:tcBorders>
            <w:noWrap/>
            <w:textDirection w:val="lrTb"/>
            <w:vAlign w:val="bottom"/>
          </w:tcPr>
          <w:p>
            <w:pPr>
              <w:tabs>
                <w:tab w:val="left" w:pos="7088"/>
              </w:tabs>
              <w:jc w:val="right"/>
            </w:pPr>
            <w:r>
              <w:rPr>
                <w:rFonts w:ascii="PT Astra Serif" w:hAnsi="PT Astra Serif"/>
                <w:sz w:val="28"/>
                <w:szCs w:val="28"/>
              </w:rPr>
              <w:t xml:space="preserve">А.М. </w:t>
            </w:r>
            <w:r>
              <w:rPr>
                <w:rFonts w:ascii="PT Astra Serif" w:hAnsi="PT Astra Serif"/>
                <w:sz w:val="28"/>
                <w:szCs w:val="28"/>
              </w:rPr>
              <w:t>Феденёв</w:t>
            </w:r>
          </w:p>
        </w:tc>
      </w:tr>
    </w:tbl>
    <w:p>
      <w:pPr>
        <w:pBdr>
          <w:right w:val="nil"/>
        </w:pBdr>
        <w:tabs>
          <w:tab w:val="left" w:pos="7088"/>
        </w:tabs>
        <w:jc w:val="both"/>
        <w:rPr>
          <w:rFonts w:ascii="PT Astra Serif" w:eastAsia="PT Astra Serif" w:hAnsi="PT Astra Serif" w:cs="PT Astra Serif"/>
          <w:sz w:val="26"/>
          <w:szCs w:val="26"/>
          <w:lang w:val="en-US"/>
        </w:rPr>
      </w:pPr>
    </w:p>
    <w:p>
      <w:pPr>
        <w:pBdr>
          <w:right w:val="nil"/>
        </w:pBdr>
        <w:tabs>
          <w:tab w:val="left" w:pos="7088"/>
        </w:tabs>
        <w:jc w:val="both"/>
        <w:rPr>
          <w:rFonts w:ascii="PT Astra Serif" w:hAnsi="PT Astra Serif"/>
          <w:sz w:val="18"/>
          <w:szCs w:val="18"/>
        </w:rPr>
      </w:pPr>
    </w:p>
    <w:p>
      <w:pPr>
        <w:rPr>
          <w:rFonts w:ascii="PT Astra Serif" w:hAnsi="PT Astra Serif"/>
          <w:sz w:val="18"/>
          <w:szCs w:val="18"/>
        </w:rPr>
      </w:pPr>
      <w:r>
        <w:rPr>
          <w:rFonts w:ascii="PT Astra Serif" w:hAnsi="PT Astra Serif"/>
          <w:sz w:val="18"/>
          <w:szCs w:val="18"/>
        </w:rPr>
        <w:br w:type="page"/>
      </w:r>
    </w:p>
    <w:p>
      <w:pPr>
        <w:ind w:left="5528"/>
        <w:rPr>
          <w:rFonts w:ascii="PT Astra Serif" w:hAnsi="PT Astra Serif" w:cs="PT Astra Serif"/>
          <w:sz w:val="28"/>
          <w:szCs w:val="28"/>
        </w:rPr>
      </w:pPr>
      <w:r>
        <w:rPr>
          <w:rFonts w:ascii="PT Astra Serif" w:eastAsia="PT Astra Serif" w:hAnsi="PT Astra Serif" w:cs="PT Astra Serif"/>
          <w:sz w:val="28"/>
          <w:szCs w:val="28"/>
        </w:rPr>
        <w:t>УТВЕРЖДЕНЫ</w:t>
      </w:r>
    </w:p>
    <w:p>
      <w:pPr>
        <w:ind w:left="5528"/>
        <w:rPr>
          <w:rFonts w:ascii="PT Astra Serif" w:hAnsi="PT Astra Serif" w:cs="PT Astra Serif"/>
          <w:sz w:val="28"/>
          <w:szCs w:val="28"/>
        </w:rPr>
      </w:pPr>
      <w:r>
        <w:rPr>
          <w:rFonts w:ascii="PT Astra Serif" w:eastAsia="PT Astra Serif" w:hAnsi="PT Astra Serif" w:cs="PT Astra Serif"/>
          <w:sz w:val="28"/>
          <w:szCs w:val="28"/>
        </w:rPr>
        <w:t>приказом Департамента финансов</w:t>
      </w:r>
    </w:p>
    <w:p>
      <w:pPr>
        <w:ind w:left="5528"/>
        <w:rPr>
          <w:rFonts w:ascii="PT Astra Serif" w:hAnsi="PT Astra Serif" w:cs="PT Astra Serif"/>
          <w:sz w:val="28"/>
          <w:szCs w:val="28"/>
        </w:rPr>
      </w:pPr>
      <w:r>
        <w:rPr>
          <w:rFonts w:ascii="PT Astra Serif" w:eastAsia="PT Astra Serif" w:hAnsi="PT Astra Serif" w:cs="PT Astra Serif"/>
          <w:sz w:val="28"/>
          <w:szCs w:val="28"/>
        </w:rPr>
        <w:t>Томской области</w:t>
      </w:r>
    </w:p>
    <w:p>
      <w:pPr>
        <w:ind w:left="5528"/>
        <w:rPr>
          <w:rFonts w:ascii="PT Astra Serif" w:hAnsi="PT Astra Serif" w:cs="PT Astra Serif"/>
          <w:sz w:val="28"/>
          <w:szCs w:val="28"/>
        </w:rPr>
      </w:pPr>
      <w:r>
        <w:rPr>
          <w:rFonts w:ascii="PT Astra Serif" w:eastAsia="PT Astra Serif" w:hAnsi="PT Astra Serif" w:cs="PT Astra Serif"/>
          <w:sz w:val="28"/>
          <w:szCs w:val="28"/>
        </w:rPr>
        <w:t>о</w:t>
      </w:r>
      <w:r>
        <w:rPr>
          <w:rFonts w:ascii="PT Astra Serif" w:eastAsia="PT Astra Serif" w:hAnsi="PT Astra Serif" w:cs="PT Astra Serif"/>
          <w:sz w:val="28"/>
          <w:szCs w:val="28"/>
        </w:rPr>
        <w:t>т</w:t>
      </w:r>
      <w:r>
        <w:rPr>
          <w:rFonts w:ascii="PT Astra Serif" w:eastAsia="PT Astra Serif" w:hAnsi="PT Astra Serif" w:cs="PT Astra Serif"/>
          <w:sz w:val="28"/>
          <w:szCs w:val="28"/>
        </w:rPr>
        <w:t xml:space="preserve"> 17.02.2026 </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rPr>
        <w:t>6</w:t>
      </w:r>
    </w:p>
    <w:p>
      <w:pPr>
        <w:pStyle w:val="ConsPlusTitle"/>
        <w:jc w:val="center"/>
        <w:rPr>
          <w:rFonts w:ascii="PT Astra Serif" w:hAnsi="PT Astra Serif" w:cs="PT Astra Serif"/>
          <w:b w:val="0"/>
          <w:sz w:val="28"/>
          <w:szCs w:val="28"/>
        </w:rPr>
      </w:pPr>
    </w:p>
    <w:p>
      <w:pPr>
        <w:pStyle w:val="ConsPlusTitle"/>
        <w:jc w:val="center"/>
        <w:rPr>
          <w:rFonts w:ascii="PT Astra Serif" w:hAnsi="PT Astra Serif" w:cs="PT Astra Serif"/>
          <w:b w:val="0"/>
          <w:sz w:val="28"/>
          <w:szCs w:val="28"/>
        </w:rPr>
      </w:pPr>
    </w:p>
    <w:p>
      <w:pPr>
        <w:pStyle w:val="ConsPlusTitle"/>
        <w:jc w:val="center"/>
        <w:rPr>
          <w:rFonts w:ascii="PT Astra Serif" w:hAnsi="PT Astra Serif" w:cs="PT Astra Serif"/>
          <w:b w:val="0"/>
          <w:sz w:val="28"/>
          <w:szCs w:val="28"/>
        </w:rPr>
      </w:pPr>
      <w:r>
        <w:rPr>
          <w:rFonts w:ascii="PT Astra Serif" w:eastAsia="PT Astra Serif" w:hAnsi="PT Astra Serif" w:cs="PT Astra Serif"/>
          <w:b w:val="0"/>
          <w:sz w:val="28"/>
          <w:szCs w:val="28"/>
        </w:rPr>
        <w:t>Условия</w:t>
      </w:r>
    </w:p>
    <w:p>
      <w:pPr>
        <w:widowControl w:val="0"/>
        <w:jc w:val="center"/>
        <w:rPr>
          <w:rFonts w:ascii="PT Astra Serif" w:hAnsi="PT Astra Serif" w:cs="PT Astra Serif"/>
          <w:bCs/>
          <w:sz w:val="28"/>
          <w:szCs w:val="28"/>
        </w:rPr>
      </w:pPr>
      <w:r>
        <w:rPr>
          <w:rFonts w:ascii="PT Astra Serif" w:eastAsia="PT Astra Serif" w:hAnsi="PT Astra Serif" w:cs="PT Astra Serif"/>
          <w:bCs/>
          <w:sz w:val="28"/>
          <w:szCs w:val="28"/>
        </w:rPr>
        <w:t>эмиссии и обращения облигаций биржевого внутреннего займа Томской области 2026 года с переменным купонным доходом и амортизацией долга</w:t>
      </w:r>
    </w:p>
    <w:p>
      <w:pPr>
        <w:ind w:firstLine="540"/>
        <w:jc w:val="both"/>
        <w:rPr>
          <w:rFonts w:ascii="PT Astra Serif" w:hAnsi="PT Astra Serif" w:cs="PT Astra Serif"/>
          <w:sz w:val="28"/>
          <w:szCs w:val="28"/>
        </w:rPr>
      </w:pPr>
    </w:p>
    <w:p>
      <w:pPr>
        <w:pStyle w:val="ConsPlusNormal"/>
        <w:jc w:val="center"/>
        <w:outlineLvl w:val="1"/>
        <w:rPr>
          <w:rFonts w:ascii="PT Astra Serif" w:hAnsi="PT Astra Serif" w:cs="PT Astra Serif"/>
          <w:sz w:val="28"/>
          <w:szCs w:val="28"/>
        </w:rPr>
      </w:pPr>
      <w:r>
        <w:rPr>
          <w:rFonts w:ascii="PT Astra Serif" w:eastAsia="PT Astra Serif" w:hAnsi="PT Astra Serif" w:cs="PT Astra Serif"/>
          <w:sz w:val="28"/>
          <w:szCs w:val="28"/>
        </w:rPr>
        <w:t>1. Общие положения</w:t>
      </w:r>
    </w:p>
    <w:p>
      <w:pPr>
        <w:pStyle w:val="ConsPlusNormal"/>
        <w:jc w:val="both"/>
        <w:rPr>
          <w:rFonts w:ascii="PT Astra Serif" w:hAnsi="PT Astra Serif" w:cs="PT Astra Serif"/>
          <w:sz w:val="28"/>
          <w:szCs w:val="28"/>
        </w:rPr>
      </w:pPr>
      <w:bookmarkStart w:id="3" w:name="_GoBack"/>
      <w:bookmarkEnd w:id="3"/>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1. Настоящие Условия эмиссии и обращения облигаций биржевого внутреннего займа Томской области 2026 года с переменным купонным доходом и амортизацией долга (далее – Условия эмиссии) приняты в соответствии с Генеральными </w:t>
      </w:r>
      <w:hyperlink r:id="rId4" w:tooltip="consultantplus://offline/ref=D523E86BA2935134C04978F4A5A7A36278CB6038695CAE4F6FAE2C82C3978C9DE5BB2B67819AD8DD788CB1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 161а «О выпуске о</w:t>
      </w:r>
      <w:r>
        <w:rPr>
          <w:rFonts w:ascii="PT Astra Serif" w:eastAsia="PT Astra Serif" w:hAnsi="PT Astra Serif" w:cs="PT Astra Serif"/>
          <w:sz w:val="28"/>
          <w:szCs w:val="28"/>
        </w:rPr>
        <w:t>блигаций биржевого внутреннего займа» (далее - Генеральные условия), и определяют порядок эмиссии, обращения и погашения облигаций биржевого внутреннего займа Томской области 2026 года с переменным купонным доходом и амортизацией долга (далее - Облигации).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 Эмитентом Облигаций от имени Томской области выступает Департамент финансов Томской области (далее - Эмитент).</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Юридический и почтовый адрес Эмитента: 634050, г. Томск, пр. Ленина, </w:t>
      </w:r>
      <w:r>
        <w:rPr>
          <w:rFonts w:ascii="PT Astra Serif" w:eastAsia="PT Astra Serif" w:hAnsi="PT Astra Serif" w:cs="PT Astra Serif"/>
          <w:sz w:val="28"/>
          <w:szCs w:val="28"/>
        </w:rPr>
        <w:br/>
        <w:t>д. 111.</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Мероприятия, необходимые для осуществления эмиссии, обращения и погашения Облигаций, проводит Эмитент. </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 Генеральным агентом Эмитента выступает профессиональный участник рынка ценных бумаг, определенный в соответствии с законодательством Российской Федерации и заключивший с Эмитентом государственный контракт (далее - Генеральный агент).</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Уполномоченным депозитарием выступает профессиональный участник рынка ценных бумаг, осуществляющий на основании с</w:t>
      </w:r>
      <w:r>
        <w:rPr>
          <w:rFonts w:ascii="PT Astra Serif" w:eastAsia="PT Astra Serif" w:hAnsi="PT Astra Serif" w:cs="PT Astra Serif"/>
          <w:sz w:val="28"/>
          <w:szCs w:val="28"/>
        </w:rPr>
        <w:t xml:space="preserve">оответствующей лицензии обязательное централизованное хранение глобального сертификата Облигаций, определенный в соответствии с законодательством Российской Федерации и заключивший с Эмитентом государственный контракт (далее - Уполномоченный депозитарий). </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Организатором торговли выступает лицо,</w:t>
      </w:r>
      <w:r>
        <w:rPr>
          <w:rFonts w:ascii="PT Astra Serif" w:eastAsia="PT Astra Serif" w:hAnsi="PT Astra Serif" w:cs="PT Astra Serif"/>
          <w:sz w:val="28"/>
          <w:szCs w:val="28"/>
        </w:rPr>
        <w:t xml:space="preserve"> оказывающее услуги по проведению организованных торгов на финансовом рынке на основании лицензии биржи, определенное в соответствии с законодательством Российской Федерации и заключивший с Эмитентом государственный контракт (далее - Организатор торговли).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Данные о Генеральном агенте, Уполномоченном депозитарии и </w:t>
      </w:r>
      <w:r>
        <w:rPr>
          <w:rFonts w:ascii="PT Astra Serif" w:eastAsia="PT Astra Serif" w:hAnsi="PT Astra Serif" w:cs="PT Astra Serif"/>
          <w:sz w:val="28"/>
          <w:szCs w:val="28"/>
        </w:rPr>
        <w:t>Организаторе торговли раскрываются в решениях об эмиссии Облигаций (далее - Решение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4. Облигации являются государственными ценными бумагами с переменным купонным доходом и амортизацией долга и выпускаются в форме именных документарных ценных бумаг с обязательным централизованным хранением (учетом) Глобального сертификата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5. Облигации предост</w:t>
      </w:r>
      <w:r>
        <w:rPr>
          <w:rFonts w:ascii="PT Astra Serif" w:eastAsia="PT Astra Serif" w:hAnsi="PT Astra Serif" w:cs="PT Astra Serif"/>
          <w:sz w:val="28"/>
          <w:szCs w:val="28"/>
        </w:rPr>
        <w:t>авляют их владельцам право на получение номинальной стоимости Облигаций, выплачиваемой частями в размере и в даты, установленные Решением об эмиссии, и право на получение купонного дохода, начисляемого на непогашенную часть номинальной стоимости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Владельцы Облигаций имеют право владеть, пользоваться и распоряжаться принадлежащими им Облигациями в соответствии с законодательством Российской Федерации.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Владельцы Облигаций имеют право совершать с Облигациями гражданско-правовые сделки в соответствии с законодательством Российской Федерации,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Решениями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6. Эмиссия Облигаций осуществляется выпусками. Облигации в рамках одного выпуска равны между собой по объему предоставляемых ими прав.</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Выпуск Облигаций, отличающийся от одного из существующих выпусков Облигаций только датой выпуска (датой размещения), признается частью существующего выпуска Облигаци</w:t>
      </w:r>
      <w:r>
        <w:rPr>
          <w:rFonts w:ascii="PT Astra Serif" w:eastAsia="PT Astra Serif" w:hAnsi="PT Astra Serif" w:cs="PT Astra Serif"/>
          <w:sz w:val="28"/>
          <w:szCs w:val="28"/>
        </w:rPr>
        <w:t>й (дополнительный выпуск Облигаций), и ему присваивается государственный регистрационный номер существующего выпуска. Решение об эмиссии дополнительного выпуска Облигаций должно содержать указание на то, что данный выпуск Облигаций является дополнительным.</w:t>
      </w:r>
    </w:p>
    <w:p>
      <w:pPr>
        <w:ind w:firstLine="540"/>
        <w:jc w:val="both"/>
        <w:rPr>
          <w:rFonts w:ascii="PT Astra Serif" w:hAnsi="PT Astra Serif" w:cs="PT Astra Serif"/>
          <w:sz w:val="26"/>
          <w:szCs w:val="26"/>
        </w:rPr>
      </w:pPr>
      <w:r>
        <w:rPr>
          <w:rFonts w:ascii="PT Astra Serif" w:eastAsia="PT Astra Serif" w:hAnsi="PT Astra Serif" w:cs="PT Astra Serif"/>
          <w:sz w:val="28"/>
          <w:szCs w:val="28"/>
        </w:rPr>
        <w:t>Облигации дополнительного выпуска предоставляют их владельцам тот же объем прав, что и Облигации выпуска, регистрационный номер которого присваивается дополнительному выпуску.</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7. В соответствии с настоящими Условиями эмиссии выпуски Облигаций могут иметь разные сроки обращения от 1 (одного) года до 10 (десяти) лет включительно.</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Срок обращения выпуска Облигаций устанавливается в Решении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8. Номинальная стоимость Облигации выражается в валюте Российской Федерации и составляет 1000 (одну тысячу) рублей.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9. Каждый выпуск Облигаций оформляется одним Глобальным сертификатом, который удостоверяет совокупность прав на Облигации, указанные в нем, и передается на хранение (учет) Уполномоченному депозитарию.</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Глобальный сертификат на руки владельцам Облигаций не выдается. Право собственности на Облигации переходит в момент осуществления приходной записи по счету депо приобретателя.</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Учет и удостоверение прав на Облигации, учет и удостоверение передачи Облигаций, включая случаи обременения Облигаций</w:t>
      </w:r>
      <w:r>
        <w:rPr>
          <w:rFonts w:ascii="PT Astra Serif" w:eastAsia="PT Astra Serif" w:hAnsi="PT Astra Serif" w:cs="PT Astra Serif"/>
          <w:sz w:val="28"/>
          <w:szCs w:val="28"/>
        </w:rPr>
        <w:t xml:space="preserve"> обязательствами, осуществляется Уполномоченным депозитарием, осуществляющим централизованное хранение Глобального сертификата, и иными депозитариями, осуществляющими учет прав на Облигации, за исключением Уполномоченного депозитария (далее – Депозитарии).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Удостоверением права владельца на Облигации является выписка со счета депо в Уполномоченном депозитарии или Депозитариях.</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10. На основании Генеральных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условий</w:t>
        </w:r>
      </w:hyperlink>
      <w:r>
        <w:rPr>
          <w:rFonts w:ascii="PT Astra Serif" w:eastAsia="PT Astra Serif" w:hAnsi="PT Astra Serif" w:cs="PT Astra Serif"/>
          <w:sz w:val="28"/>
          <w:szCs w:val="28"/>
        </w:rPr>
        <w:t xml:space="preserve"> и настоящих Условий эмиссии Эмитентом утверждается Решение об эмиссии каждого отдельного выпуска Облигаций, предусматривающее конкретные условия, необходимые в соответствии с законодательством Российской Федерации для эмиссии отдельного выпуска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11. Вопросы эмиссии, обращения и погашения Облигаций, не урегулированные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Решением об эмиссии, регламентируются Эмитентом в соответствии с законодательством Российской Федерации.</w:t>
      </w:r>
    </w:p>
    <w:p>
      <w:pPr>
        <w:pStyle w:val="ConsPlusNormal"/>
        <w:ind w:firstLine="709"/>
        <w:jc w:val="both"/>
        <w:rPr>
          <w:rFonts w:ascii="PT Astra Serif" w:hAnsi="PT Astra Serif" w:cs="PT Astra Serif"/>
          <w:sz w:val="26"/>
          <w:szCs w:val="26"/>
        </w:rPr>
      </w:pPr>
    </w:p>
    <w:p>
      <w:pPr>
        <w:pStyle w:val="ConsPlusNormal"/>
        <w:jc w:val="center"/>
        <w:outlineLvl w:val="1"/>
        <w:rPr>
          <w:rFonts w:ascii="PT Astra Serif" w:hAnsi="PT Astra Serif" w:cs="PT Astra Serif"/>
          <w:sz w:val="26"/>
          <w:szCs w:val="26"/>
        </w:rPr>
      </w:pPr>
      <w:r>
        <w:rPr>
          <w:rFonts w:ascii="PT Astra Serif" w:eastAsia="PT Astra Serif" w:hAnsi="PT Astra Serif" w:cs="PT Astra Serif"/>
          <w:sz w:val="28"/>
          <w:szCs w:val="28"/>
        </w:rPr>
        <w:t>2. Порядок размещения и обращения Облигаций</w:t>
      </w:r>
    </w:p>
    <w:p>
      <w:pPr>
        <w:pStyle w:val="ConsPlusNormal"/>
        <w:ind w:firstLine="709"/>
        <w:jc w:val="both"/>
        <w:rPr>
          <w:rFonts w:ascii="PT Astra Serif" w:hAnsi="PT Astra Serif" w:cs="PT Astra Serif"/>
          <w:sz w:val="26"/>
          <w:szCs w:val="26"/>
        </w:rPr>
      </w:pP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12. Дата начала размещения Облигаций устанавливается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Дата окончания размещения Облигаций - день продажи последней Облигации первым владельцам.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13. Раскрыти</w:t>
      </w:r>
      <w:r>
        <w:rPr>
          <w:rFonts w:ascii="PT Astra Serif" w:eastAsia="PT Astra Serif" w:hAnsi="PT Astra Serif" w:cs="PT Astra Serif"/>
          <w:sz w:val="28"/>
          <w:szCs w:val="28"/>
        </w:rPr>
        <w:t>е информации, содержащейся в Решении об эмиссии, осуществляется путем размещения (опубликования) на официальном сайте Эмитента в информационно-телекоммуникационной сети Интернет не позднее чем за два рабочих дня до даты начала размещения выпуска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14. Размещение, обращение, включая выкуп Об</w:t>
      </w:r>
      <w:r>
        <w:rPr>
          <w:rFonts w:ascii="PT Astra Serif" w:eastAsia="PT Astra Serif" w:hAnsi="PT Astra Serif" w:cs="PT Astra Serif"/>
          <w:sz w:val="28"/>
          <w:szCs w:val="28"/>
        </w:rPr>
        <w:t>лигаций, осуществляются на торгах Организатора торговли в соответствии с установленными им правилами организованных торгов в соответствии с законодательством Российской Федерации, Генеральными условиями, настоящими Условиями эмиссии и Решениями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 рамках эмиссии Облигаций размещение выпусков Облигаций может осуществляться в со</w:t>
      </w:r>
      <w:r>
        <w:rPr>
          <w:rFonts w:ascii="PT Astra Serif" w:eastAsia="PT Astra Serif" w:hAnsi="PT Astra Serif" w:cs="PT Astra Serif"/>
          <w:sz w:val="28"/>
          <w:szCs w:val="28"/>
        </w:rPr>
        <w:t>ответствии с законодательством Российской Федерации, настоящими Условиями эмиссии и Решением об эмиссии путем заключения сделок купли-продажи Облигаций между Генеральным агентом, действующим по поручению и за счет Эмитента, и первыми владельцами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Размещение Облигаций может осуществляться одним из следующих способов:</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проведения аукциона по определению цены размещения Облигаций в процентах от номинальной стоимости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проведения конкурса по определению ставки купонного дохода на первый купонный период по Облигациям в процентах годовых;</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сбора адресных заявок со стороны покупателей на приобретение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по процентной ставке первого купона и цене размещения, равной номинальной стоимости Облигаций в дату начала размещения и равной или отличной от нее в остальные даты (далее – Сбор адресных заявок по купону);</w:t>
      </w:r>
    </w:p>
    <w:p>
      <w:pPr>
        <w:ind w:firstLine="540"/>
        <w:jc w:val="both"/>
        <w:rPr>
          <w:rFonts w:ascii="PT Astra Serif" w:hAnsi="PT Astra Serif" w:cs="PT Astra Serif"/>
          <w:sz w:val="26"/>
          <w:szCs w:val="26"/>
        </w:rPr>
      </w:pPr>
      <w:r>
        <w:rPr>
          <w:rFonts w:ascii="PT Astra Serif" w:eastAsia="PT Astra Serif" w:hAnsi="PT Astra Serif" w:cs="PT Astra Serif"/>
          <w:sz w:val="28"/>
          <w:szCs w:val="28"/>
        </w:rPr>
        <w:t xml:space="preserve">  по цене размещения Облигаций и с процентными ставками купонного дохода или порядком его расчета по всем купонным периодам (ставки всех купонов), заранее определенными Эмитентом (далее - Сбор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Способ размещения Облигаций устанавливается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15. Размещение Облигаций путем проведения аукциона по определению цены размещения.</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Предметом аукциона является определение цены размещения Облигаций в процентах от номинальной стоимости Облигаций. Порядок расчета купонного дохода по Облигациям устанавливается Эмитентом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Участники аукциона подают заявки на покупку Облигаций. Существенным условием каждой заявки на покупку Облигаций является указание цены размещения Облигаций в процентах от номинальной стоимости Облигаций и количества приобретаемых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Эмитент устанавливает единую цену размещения Облигаций на основании </w:t>
      </w:r>
      <w:r>
        <w:rPr>
          <w:rFonts w:ascii="PT Astra Serif" w:eastAsia="PT Astra Serif" w:hAnsi="PT Astra Serif" w:cs="PT Astra Serif"/>
          <w:sz w:val="28"/>
          <w:szCs w:val="28"/>
        </w:rPr>
        <w:t>поданных участниками аукциона заявок и с учетом приемлемой стоимости заимствования. Генеральный агент удовлетворяет только те заявки участников аукциона, в которых цена размещения Облигаций равна или выше цены размещения Облигаций, установленной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Заявки на </w:t>
      </w:r>
      <w:r>
        <w:rPr>
          <w:rFonts w:ascii="PT Astra Serif" w:eastAsia="PT Astra Serif" w:hAnsi="PT Astra Serif" w:cs="PT Astra Serif"/>
          <w:sz w:val="28"/>
          <w:szCs w:val="28"/>
        </w:rPr>
        <w:t>покупку Облигаций удовлетворяются на условиях приоритета заявок на покупку Облигаций с наибольшей ценой размещения Облигаций, то есть в первую очередь удовлетворяются заявки на покупку Облигаций, в которых указана наибольшая цена размещения Облигаций. Если</w:t>
      </w:r>
      <w:r>
        <w:rPr>
          <w:rFonts w:ascii="PT Astra Serif" w:eastAsia="PT Astra Serif" w:hAnsi="PT Astra Serif" w:cs="PT Astra Serif"/>
          <w:sz w:val="28"/>
          <w:szCs w:val="28"/>
        </w:rPr>
        <w:t xml:space="preserve"> с одинаковой ценой размещения Облигаций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w:t>
      </w:r>
      <w:r>
        <w:rPr>
          <w:rFonts w:ascii="PT Astra Serif" w:eastAsia="PT Astra Serif" w:hAnsi="PT Astra Serif" w:cs="PT Astra Serif"/>
          <w:sz w:val="28"/>
          <w:szCs w:val="28"/>
        </w:rPr>
        <w:t>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16. Размещение Облигаций путем проведения конкурса по определению ставки купонного дохода на первый купонный период.</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Предметом конкурса является определение ставки купонного дохода на первый купонный период по Облигациям в процентах годовых.</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Размещение Облигаций в дату проведения конкурса осуществляется по цене, равной 100 (ста) процентам от номинальной стоимости Облигаций и равной или отличной от нее в последующие даты.</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Участники конкурса подают в адрес Генерального агента заявки на покупку </w:t>
      </w:r>
      <w:r>
        <w:rPr>
          <w:rFonts w:ascii="PT Astra Serif" w:eastAsia="PT Astra Serif" w:hAnsi="PT Astra Serif" w:cs="PT Astra Serif"/>
          <w:sz w:val="28"/>
          <w:szCs w:val="28"/>
        </w:rPr>
        <w:t>Облигаций. Существенным условием каждой заявки на покупку Облигаций является указание ставки купонного дохода на первый купонный период в процентах годовых, цены Облигаций в процентах от номинальной стоимости Облигаций и количества приобретаемых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устанавливает ставку купонного дохода на первый купонный период по Облигациям с учетом приемлемой стоимости заимствования на основании поданных участни</w:t>
      </w:r>
      <w:r>
        <w:rPr>
          <w:rFonts w:ascii="PT Astra Serif" w:eastAsia="PT Astra Serif" w:hAnsi="PT Astra Serif" w:cs="PT Astra Serif"/>
          <w:sz w:val="28"/>
          <w:szCs w:val="28"/>
        </w:rPr>
        <w:t>ками конкурса заявок. Генеральный агент удовлетворяет только те заявки участников конкурса, в которых ставка купонного дохода на первый купонный период по Облигациям равна или ниже ставки купонного дохода на первый купонный период, установленной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Заявки на покупку Облигаций удовлетворяются на условиях приоритета заявок на пок</w:t>
      </w:r>
      <w:r>
        <w:rPr>
          <w:rFonts w:ascii="PT Astra Serif" w:eastAsia="PT Astra Serif" w:hAnsi="PT Astra Serif" w:cs="PT Astra Serif"/>
          <w:sz w:val="28"/>
          <w:szCs w:val="28"/>
        </w:rPr>
        <w:t>упку Облигаций с минимальной ставкой купонного дохода на первый купонный период, то есть в первую очередь удовлетворяются заявки на покупку Облигаций, в которых указана меньшая ставка купонного дохода на первый купонный период. Если с одинаковой ставкой ку</w:t>
      </w:r>
      <w:r>
        <w:rPr>
          <w:rFonts w:ascii="PT Astra Serif" w:eastAsia="PT Astra Serif" w:hAnsi="PT Astra Serif" w:cs="PT Astra Serif"/>
          <w:sz w:val="28"/>
          <w:szCs w:val="28"/>
        </w:rPr>
        <w:t>понного дохода на первый купонный период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w:t>
      </w:r>
      <w:r>
        <w:rPr>
          <w:rFonts w:ascii="PT Astra Serif" w:eastAsia="PT Astra Serif" w:hAnsi="PT Astra Serif" w:cs="PT Astra Serif"/>
          <w:sz w:val="28"/>
          <w:szCs w:val="28"/>
        </w:rPr>
        <w:t>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Информация о размере процентной ставки купонного дохода на первый купонный период размещается на официальном сайте Эмитента в информационно-телекоммуникационной сети Интернет в дату начала размещения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17. Размещение Облигаций путем Сбора адресных заявок по купону или Сбора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Генеральный аген</w:t>
      </w:r>
      <w:r>
        <w:rPr>
          <w:rFonts w:ascii="PT Astra Serif" w:eastAsia="PT Astra Serif" w:hAnsi="PT Astra Serif" w:cs="PT Astra Serif"/>
          <w:sz w:val="28"/>
          <w:szCs w:val="28"/>
        </w:rPr>
        <w:t>т по поручению Эмитента направляет адресованное неопределенному кругу лиц приглашение делать предложение о приобретении Облигаций (далее - Оферта). Генеральный агент раскрывает информацию о сроках и порядке направления Оферт на своем сайте в сети Интернет.</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Потенциальные покупатели Облигаций направляют Оферты в адрес Генерального агента в сроки и в порядке, установленные в Решении об эмиссии,</w:t>
      </w:r>
      <w:r>
        <w:rPr>
          <w:rFonts w:ascii="PT Astra Serif" w:eastAsia="PT Astra Serif" w:hAnsi="PT Astra Serif" w:cs="PT Astra Serif"/>
          <w:sz w:val="28"/>
          <w:szCs w:val="28"/>
        </w:rPr>
        <w:t xml:space="preserve"> с указанием минимальной ставки купонного дохода на первый купонный период, приемлемой для потенциального покупателя, при размещении Облигаций путем Сбора адресных заявок по купону, или максимально приемлемой цены размещения при размещении Облигаций путем </w:t>
      </w:r>
      <w:r>
        <w:rPr>
          <w:rFonts w:ascii="PT Astra Serif" w:eastAsia="PT Astra Serif" w:hAnsi="PT Astra Serif" w:cs="PT Astra Serif"/>
          <w:sz w:val="28"/>
          <w:szCs w:val="28"/>
        </w:rPr>
        <w:t>Сбора адресных</w:t>
      </w:r>
      <w:r>
        <w:rPr>
          <w:rFonts w:ascii="PT Astra Serif" w:eastAsia="PT Astra Serif" w:hAnsi="PT Astra Serif" w:cs="PT Astra Serif"/>
          <w:sz w:val="28"/>
          <w:szCs w:val="28"/>
        </w:rPr>
        <w:t xml:space="preserve"> заявок по цене, максимальной суммы, на которую он готов купить Облигации, и количества приобретаемых Облигаций, при этом потенциальный покупатель соглашается, что любая оферта может быть отклонена, акцептована полностью или в части по усмотрению Эмитента.</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После окончания срока для направления Оферт Генеральный агент форм</w:t>
      </w:r>
      <w:r>
        <w:rPr>
          <w:rFonts w:ascii="PT Astra Serif" w:eastAsia="PT Astra Serif" w:hAnsi="PT Astra Serif" w:cs="PT Astra Serif"/>
          <w:sz w:val="28"/>
          <w:szCs w:val="28"/>
        </w:rPr>
        <w:t xml:space="preserve">ирует и передает Эмитенту сводный реестр Оферт. На основании анализа сводного реестра Оферт и с учетом приемлемой стоимости заимствования Эмитент принимает решение о величине ставки купонного дохода на первый купонный период при размещении Облигаций путем </w:t>
      </w:r>
      <w:r>
        <w:rPr>
          <w:rFonts w:ascii="PT Astra Serif" w:eastAsia="PT Astra Serif" w:hAnsi="PT Astra Serif" w:cs="PT Astra Serif"/>
          <w:sz w:val="28"/>
          <w:szCs w:val="28"/>
        </w:rPr>
        <w:t>Сбора адресных заявок по купону или цены размещения при размещении путем Сбора адресных заявок по цене и определяет потенциальных покупателей, которым он намеревается продать Облигации, а также количество Облигаций, которые он намеревается продать потенциа</w:t>
      </w:r>
      <w:r>
        <w:rPr>
          <w:rFonts w:ascii="PT Astra Serif" w:eastAsia="PT Astra Serif" w:hAnsi="PT Astra Serif" w:cs="PT Astra Serif"/>
          <w:sz w:val="28"/>
          <w:szCs w:val="28"/>
        </w:rPr>
        <w:t>льным покупателям. В случае акцепта Оферты участник размещения соглашается, что количество Облигаций, указанное в Оферте, может быть уменьшено Эмитентом. Генеральный агент направляет акцепт на Оферты потенциальным покупателям, которые определены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Заключение сделок купли-продажи Облигаций осуществляется с использованием системы торгов Организатора торговли по цене размещения, </w:t>
      </w:r>
      <w:r>
        <w:rPr>
          <w:rFonts w:ascii="PT Astra Serif" w:eastAsia="PT Astra Serif" w:hAnsi="PT Astra Serif" w:cs="PT Astra Serif"/>
          <w:sz w:val="28"/>
          <w:szCs w:val="28"/>
        </w:rPr>
        <w:t xml:space="preserve">равной номинальной стоимости Облигаций, и ставке купонного дохода на первый купонный период, определенной Эмитентом в порядке, указанном в настоящих Условиях эмиссии и в Решении об эмиссии при размещении Облигаций путем Сбора адресных заявок по купону или </w:t>
      </w:r>
      <w:r>
        <w:rPr>
          <w:rFonts w:ascii="PT Astra Serif" w:eastAsia="PT Astra Serif" w:hAnsi="PT Astra Serif" w:cs="PT Astra Serif"/>
          <w:sz w:val="28"/>
          <w:szCs w:val="28"/>
        </w:rPr>
        <w:t>по установленной Эмитентом цене размещения и с процентными ставками купонного дохода или порядком их определения по всем купонным периодам (ставки всех купонов), заранее определенными Эмитентом, при размещении Облигаций путем Сбора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В дату начала размещения Облигаций участники торгов Организатора торговли в течение периода подачи адресных заявок на покупку Облигаций, установленного Организатором торговли, по</w:t>
      </w:r>
      <w:r>
        <w:rPr>
          <w:rFonts w:ascii="PT Astra Serif" w:eastAsia="PT Astra Serif" w:hAnsi="PT Astra Serif" w:cs="PT Astra Serif"/>
          <w:sz w:val="28"/>
          <w:szCs w:val="28"/>
        </w:rPr>
        <w:t>дают адресные заявки на покупку Облигаций с использованием системы торгов Организатора торговли, как за свой счет, так и за счет и по поручению клиентов. Адресные заявки на приобретение Облигаций направляются участниками торгов в адрес Генерального агента.</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Адресная заявка на приобретение Облигаций должна содержать цену покупки в процентах от номинальной стоимости Облигаций, количество Облигаций, а также иную информацию в соответствии с правилами проведения торгов по ценным бумагам Организатора торговли.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Организатор торговли составляет сводный р</w:t>
      </w:r>
      <w:r>
        <w:rPr>
          <w:rFonts w:ascii="PT Astra Serif" w:eastAsia="PT Astra Serif" w:hAnsi="PT Astra Serif" w:cs="PT Astra Serif"/>
          <w:sz w:val="28"/>
          <w:szCs w:val="28"/>
        </w:rPr>
        <w:t>еестр адресных заявок на покупку Облигаций, полученных в течение периода подачи адресных заявок на покупку Облигаций, и передает его Генеральному агенту. Генеральный агент передает вышеуказанный сводный реестр адресных заявок на покупку Облигаций Эмитенту.</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На основании анализа сводного реестра адресных заявок на покупку Облигаций Эмитент принимает решение об удовлетворении адресных заявок, руководствуясь наличием акцепта оферты о приобретении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передает Генеральному агенту информацию об адресных заявках на покупку Облигаций, которые будут удовлетворены, после чего Эмитент в лице Генерального агента заключает сделки купли-продажи Облигаций с покуп</w:t>
      </w:r>
      <w:r>
        <w:rPr>
          <w:rFonts w:ascii="PT Astra Serif" w:eastAsia="PT Astra Serif" w:hAnsi="PT Astra Serif" w:cs="PT Astra Serif"/>
          <w:sz w:val="28"/>
          <w:szCs w:val="28"/>
        </w:rPr>
        <w:t>ателями путем выставления встречных адресных заявок с указанием количества Облигаций, которые будут проданы покупателям, согласно порядку, установленному настоящими Условиями эмиссии, Решением об эмиссии и правилами проведения торгов Организатора торговли.</w:t>
      </w:r>
    </w:p>
    <w:p>
      <w:pPr>
        <w:ind w:firstLine="709"/>
        <w:jc w:val="both"/>
        <w:rPr>
          <w:rFonts w:ascii="PT Astra Serif" w:hAnsi="PT Astra Serif" w:cs="PT Astra Serif"/>
          <w:sz w:val="28"/>
          <w:szCs w:val="28"/>
          <w:highlight w:val="white"/>
        </w:rPr>
      </w:pPr>
      <w:r>
        <w:rPr>
          <w:rFonts w:ascii="PT Astra Serif" w:eastAsia="PT Astra Serif" w:hAnsi="PT Astra Serif" w:cs="PT Astra Serif"/>
          <w:sz w:val="28"/>
          <w:szCs w:val="28"/>
        </w:rPr>
        <w:t xml:space="preserve">Информация о размере процентной ставки купонного дохода на первый купонный период при размещении Облигаций путем Сбора адресных заявок по купону размещается на официальном сайте </w:t>
      </w:r>
      <w:r>
        <w:rPr>
          <w:rFonts w:ascii="PT Astra Serif" w:eastAsia="PT Astra Serif" w:hAnsi="PT Astra Serif" w:cs="PT Astra Serif"/>
          <w:sz w:val="28"/>
          <w:szCs w:val="28"/>
        </w:rPr>
        <w:t>Эмитента в информационно-телекоммуникационной сети Интернет не позднее даты начала размещения Облигаций. Информация о цене размещения при размещении Облигаций путем Сбора адресных заявок по цене размещается на официальном сайте Эмитента в информационно-тел</w:t>
      </w:r>
      <w:r>
        <w:rPr>
          <w:rFonts w:ascii="PT Astra Serif" w:eastAsia="PT Astra Serif" w:hAnsi="PT Astra Serif" w:cs="PT Astra Serif"/>
          <w:sz w:val="28"/>
          <w:szCs w:val="28"/>
          <w:highlight w:val="white"/>
        </w:rPr>
        <w:t>екоммуникационной сети Интернет не позднее чем за 2 (два) рабочих дня до даты начала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highlight w:val="white"/>
        </w:rPr>
        <w:t>18. Размещение Облигаций, ранее не размещенных в предусмотренном пунктами 15-17 настоящих Условий эмиссии порядке, может осуществляться в соответствии с законодательств</w:t>
      </w:r>
      <w:r>
        <w:rPr>
          <w:rFonts w:ascii="PT Astra Serif" w:eastAsia="PT Astra Serif" w:hAnsi="PT Astra Serif" w:cs="PT Astra Serif"/>
          <w:sz w:val="28"/>
          <w:szCs w:val="28"/>
        </w:rPr>
        <w:t>ом Российской Федерации, настоящими Условиями эмиссии, Решением об эмиссии путем заключения сделок купли-продажи ме</w:t>
      </w:r>
      <w:r>
        <w:rPr>
          <w:rFonts w:ascii="PT Astra Serif" w:eastAsia="PT Astra Serif" w:hAnsi="PT Astra Serif" w:cs="PT Astra Serif"/>
          <w:sz w:val="28"/>
          <w:szCs w:val="28"/>
        </w:rPr>
        <w:t>жду Эмитентом (Генеральным агентом) и первыми владельцами Облигаций по цене/ценам, указанной/указанным Эмитентом, на торгах, проводимых у Организатора торговли, в порядке, предусмотренном правилами проведения торгов по ценным бумагам Организатора торговли.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19. Начиная со дня, следующего за датой начала размещения</w:t>
      </w:r>
      <w:r>
        <w:rPr>
          <w:rFonts w:ascii="PT Astra Serif" w:eastAsia="PT Astra Serif" w:hAnsi="PT Astra Serif" w:cs="PT Astra Serif"/>
          <w:sz w:val="28"/>
          <w:szCs w:val="28"/>
        </w:rPr>
        <w:t xml:space="preserve"> Облигаций, покупатель при совершении сделки купли-продажи Облигаций уплачивает Эмитенту в лице Генерального агента цену Облигации, а также уплачивает накопленный купонный доход по Облигациям, рассчитанный на дату совершения сделки по формуле, указанной в </w:t>
      </w:r>
      <w:hyperlink r:id="rId6" w:tooltip="https://login.consultant.ru/link/?req=doc&amp;base=RLAW049&amp;n=175638&amp;dst=100096" w:history="1">
        <w:r>
          <w:rPr>
            <w:rFonts w:ascii="PT Astra Serif" w:eastAsia="PT Astra Serif" w:hAnsi="PT Astra Serif" w:cs="PT Astra Serif"/>
            <w:sz w:val="28"/>
            <w:szCs w:val="28"/>
          </w:rPr>
          <w:t>пункте</w:t>
        </w:r>
      </w:hyperlink>
      <w:r>
        <w:rPr>
          <w:rFonts w:ascii="PT Astra Serif" w:eastAsia="PT Astra Serif" w:hAnsi="PT Astra Serif" w:cs="PT Astra Serif"/>
          <w:sz w:val="28"/>
          <w:szCs w:val="28"/>
        </w:rPr>
        <w:t> 25 настоящих Условий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20. Обращение О</w:t>
      </w:r>
      <w:r>
        <w:rPr>
          <w:rFonts w:ascii="PT Astra Serif" w:eastAsia="PT Astra Serif" w:hAnsi="PT Astra Serif" w:cs="PT Astra Serif"/>
          <w:sz w:val="28"/>
          <w:szCs w:val="28"/>
        </w:rPr>
        <w:t>блигаций на вторичном рынке осуществляется путем заключения гражданско-правовых сделок как у Организатора торговли, так и вне Организатора торговли в соответствии с законодательством Российской Федерации, настоящими Условиями эмиссии и Решением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21. Все расчеты по Облигациям производятся в валюте Российской Федерации.</w:t>
      </w:r>
    </w:p>
    <w:p>
      <w:pPr>
        <w:pStyle w:val="ConsPlusNormal"/>
        <w:ind w:firstLine="709"/>
        <w:jc w:val="both"/>
        <w:rPr>
          <w:rFonts w:ascii="PT Astra Serif" w:hAnsi="PT Astra Serif" w:cs="PT Astra Serif"/>
          <w:sz w:val="28"/>
          <w:szCs w:val="28"/>
        </w:rPr>
      </w:pPr>
    </w:p>
    <w:p>
      <w:pPr>
        <w:pStyle w:val="ConsPlusNormal"/>
        <w:jc w:val="center"/>
        <w:outlineLvl w:val="1"/>
        <w:rPr>
          <w:rFonts w:ascii="PT Astra Serif" w:hAnsi="PT Astra Serif" w:cs="PT Astra Serif"/>
          <w:sz w:val="28"/>
          <w:szCs w:val="28"/>
        </w:rPr>
      </w:pPr>
      <w:r>
        <w:rPr>
          <w:rFonts w:ascii="PT Astra Serif" w:eastAsia="PT Astra Serif" w:hAnsi="PT Astra Serif" w:cs="PT Astra Serif"/>
          <w:sz w:val="28"/>
          <w:szCs w:val="28"/>
        </w:rPr>
        <w:t>3. Получение доходов по облигациям и погашение Облигаций</w:t>
      </w:r>
    </w:p>
    <w:p>
      <w:pPr>
        <w:pStyle w:val="ConsPlusNormal"/>
        <w:ind w:left="567" w:firstLine="709"/>
        <w:jc w:val="center"/>
        <w:outlineLvl w:val="1"/>
        <w:rPr>
          <w:rFonts w:ascii="PT Astra Serif" w:hAnsi="PT Astra Serif" w:cs="PT Astra Serif"/>
          <w:sz w:val="28"/>
          <w:szCs w:val="28"/>
        </w:rPr>
      </w:pP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22. Доходом по Облигациям является переменный купонный доход, а также разница между ценой реализации (погашения) и ценой покупки Облигаций. Купонный доход как абсолютная величина в рублях определяется </w:t>
      </w:r>
      <w:r>
        <w:rPr>
          <w:rFonts w:ascii="PT Astra Serif" w:eastAsia="PT Astra Serif" w:hAnsi="PT Astra Serif" w:cs="PT Astra Serif"/>
          <w:sz w:val="28"/>
          <w:szCs w:val="28"/>
        </w:rPr>
        <w:t>исходя из размера ставки купонного дохода.</w:t>
      </w:r>
    </w:p>
    <w:p>
      <w:pPr>
        <w:pStyle w:val="ConsPlusNormal"/>
        <w:shd w:val="clear" w:color="FFFFFF" w:fill="FFFFFF" w:themeColor="background1" w:themeFill="background1"/>
        <w:ind w:firstLine="709"/>
        <w:jc w:val="both"/>
        <w:rPr>
          <w:rFonts w:ascii="PT Astra Serif" w:hAnsi="PT Astra Serif" w:cs="PT Astra Serif"/>
          <w:sz w:val="26"/>
          <w:szCs w:val="26"/>
        </w:rPr>
      </w:pPr>
      <w:r>
        <w:rPr>
          <w:rFonts w:ascii="PT Astra Serif" w:eastAsia="PT Astra Serif" w:hAnsi="PT Astra Serif" w:cs="PT Astra Serif"/>
          <w:sz w:val="28"/>
          <w:szCs w:val="28"/>
        </w:rPr>
        <w:t>23. Купонный доход по Облигациям определяется на осно</w:t>
      </w:r>
      <w:r>
        <w:rPr>
          <w:rFonts w:ascii="PT Astra Serif" w:eastAsia="PT Astra Serif" w:hAnsi="PT Astra Serif" w:cs="PT Astra Serif"/>
          <w:sz w:val="28"/>
          <w:szCs w:val="28"/>
        </w:rPr>
        <w:t>ве значений кривой бескупонной доходности по облигациям федеральных займов, или ключевой ставки Банка России, или ставки RUONIA. Указание на конкретный индикатор финансового рынка, а также порядок расчета купонного дохода будет указан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Величи</w:t>
      </w:r>
      <w:r>
        <w:rPr>
          <w:rFonts w:ascii="PT Astra Serif" w:eastAsia="PT Astra Serif" w:hAnsi="PT Astra Serif" w:cs="PT Astra Serif"/>
          <w:sz w:val="28"/>
          <w:szCs w:val="28"/>
        </w:rPr>
        <w:t>на купонного дохода рассчитывается отдельно для каждого периода выплаты купонного дохода и объявляется по купонам, начиная со второго и включая последний купонные периоды - не позднее чем за два рабочих дня до даты выплаты дохода по предшествующему купону.</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Величина процентной ставки по первому купонному периоду раскрывается не позднее даты начала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Проценты по первому купону начисляются с календарного дня, следующего за датой размещения (датой начала размещения) Облигаций, по дату окончания первого купонного периода.</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Проценты по купонам, начиная со второго и включая последний купонные периоды, начисляются с календарного дня, следующего за датой окончания предшествующего купонного периода, по дату окончания текущего купонного периода (дату погашения).</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24. Величина купонного дохода в рублях на одну облигацию определяется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lang w:val="en-US"/>
        </w:rPr>
        <w:t>Cj</w:t>
      </w:r>
      <w:r>
        <w:rPr>
          <w:rFonts w:ascii="PT Astra Serif" w:eastAsia="PT Astra Serif" w:hAnsi="PT Astra Serif" w:cs="PT Astra Serif"/>
          <w:sz w:val="28"/>
          <w:szCs w:val="28"/>
        </w:rPr>
        <w:t xml:space="preserve"> = </w:t>
      </w:r>
      <w:r>
        <w:rPr>
          <w:rFonts w:ascii="PT Astra Serif" w:eastAsia="PT Astra Serif" w:hAnsi="PT Astra Serif" w:cs="PT Astra Serif"/>
          <w:sz w:val="28"/>
          <w:szCs w:val="28"/>
          <w:lang w:val="en-US"/>
        </w:rPr>
        <w:t>Nj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Tj</w:t>
      </w:r>
      <w:r>
        <w:rPr>
          <w:rFonts w:ascii="PT Astra Serif" w:eastAsia="PT Astra Serif" w:hAnsi="PT Astra Serif" w:cs="PT Astra Serif"/>
          <w:sz w:val="28"/>
          <w:szCs w:val="28"/>
        </w:rPr>
        <w:t xml:space="preserve"> / (365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C</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величина купонного дохода за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-й купонный период,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R</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ставка купонного дохода по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-му купонному периоду, в процентах годовых;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длительность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-го купонного периода, дней;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порядковый номер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Сумма выплаты по купонному доходу в расчете на одну Облигацию определяется с точностью до одной копейки (округление производи</w:t>
      </w:r>
      <w:r>
        <w:rPr>
          <w:rFonts w:ascii="PT Astra Serif" w:eastAsia="PT Astra Serif" w:hAnsi="PT Astra Serif" w:cs="PT Astra Serif"/>
          <w:sz w:val="28"/>
          <w:szCs w:val="28"/>
        </w:rPr>
        <w:t>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Даты начала и окончания купонных периодов, длительность купонных периодов устанавливаются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25. При обращении Облигаций на вторичном рынке, а также при размещении Облигаций в период с даты, следующей за датой начала ра</w:t>
      </w:r>
      <w:r>
        <w:rPr>
          <w:rFonts w:ascii="PT Astra Serif" w:eastAsia="PT Astra Serif" w:hAnsi="PT Astra Serif" w:cs="PT Astra Serif"/>
          <w:sz w:val="28"/>
          <w:szCs w:val="28"/>
        </w:rPr>
        <w:t>змещения Облигаций, до даты окончания размещения Облигаций при совершении сделок купли-продажи Облигаций покупатель уплачивает продавцу цену Облигаций, а также накопленный купонный доход на одну Облигацию, который рассчитывается на текущую дату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НКД = 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x </w:t>
      </w: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х ((Т - 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-1)) / 365) /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НКД - накопленный купонный доход на одну Облигацию,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 ставка купонного дохода по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-му купонному периоду, в процентах годовых;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-1) - дата окончания предыдущего купонного периода (для первого купонного периода - дата начала размещения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T – дата, на которую рассчитывается НКД внутри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-го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порядковый номер купонного периода.</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Сумма выплаты по накопленному купонному доходу в расчете на одну Облигацию определяется с точностью до одной копейки (округление производи</w:t>
      </w:r>
      <w:r>
        <w:rPr>
          <w:rFonts w:ascii="PT Astra Serif" w:eastAsia="PT Astra Serif" w:hAnsi="PT Astra Serif" w:cs="PT Astra Serif"/>
          <w:sz w:val="28"/>
          <w:szCs w:val="28"/>
        </w:rPr>
        <w:t>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26. Владельцы и иные лица, осуществляющие в соответствии с законодательством Российской Федерации права по Облигациям, получают доходы в денежной форме по Облига</w:t>
      </w:r>
      <w:r>
        <w:rPr>
          <w:rFonts w:ascii="PT Astra Serif" w:eastAsia="PT Astra Serif" w:hAnsi="PT Astra Serif" w:cs="PT Astra Serif"/>
          <w:sz w:val="28"/>
          <w:szCs w:val="28"/>
        </w:rPr>
        <w:t>циям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w:t>
      </w:r>
      <w:r>
        <w:rPr>
          <w:rFonts w:ascii="PT Astra Serif" w:eastAsia="PT Astra Serif" w:hAnsi="PT Astra Serif" w:cs="PT Astra Serif"/>
          <w:sz w:val="28"/>
          <w:szCs w:val="28"/>
        </w:rPr>
        <w:t>тент исполняет обязанность по осуществлению выплат по Облигациям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Уполномоченного депозитария.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Выплаты купонного дохода по Облигациям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Купонный доход по Облигациям, не размещенным на дату выплаты купонного дохода, или по Облигациям, переведенным на счет депо Эмитента в Уполномоченном депозитарии, не начисляется и не выплачивается.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27. Погашение номинальной стоимости Облигаций осуществляется частями (далее - Амортизация долга) в даты и в размерах, установленных в Решении об эмиссии и совпадающие с датами выплаты купонного дохода по Облигациям.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Владельцы Облигаций и иные лица, осуществляющие в соответствии с законодательством Российской Федерации права по Облигациям, получают выплаты погашаемой части номинальной стоимости Облиг</w:t>
      </w:r>
      <w:r>
        <w:rPr>
          <w:rFonts w:ascii="PT Astra Serif" w:eastAsia="PT Astra Serif" w:hAnsi="PT Astra Serif" w:cs="PT Astra Serif"/>
          <w:sz w:val="28"/>
          <w:szCs w:val="28"/>
        </w:rPr>
        <w:t>аций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исполняет обязанность по осуще</w:t>
      </w:r>
      <w:r>
        <w:rPr>
          <w:rFonts w:ascii="PT Astra Serif" w:eastAsia="PT Astra Serif" w:hAnsi="PT Astra Serif" w:cs="PT Astra Serif"/>
          <w:sz w:val="28"/>
          <w:szCs w:val="28"/>
        </w:rPr>
        <w:t>ствлению выплат погашаемой части номинальной стоимости Облигаций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Уполномоченного депозитария.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Выплаты погашаемой части номинальной стоимости Облигаций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28. Датой погашения выпуска Облигаций является дата выплаты последней непогашенной части номинальной стоимости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29. Если дата выплаты купонного дохода по Облигациям и (или) дата выплаты погашаемой части номинальной стоимости Облигаций выпадают на выходной день, </w:t>
      </w:r>
      <w:r>
        <w:rPr>
          <w:rFonts w:ascii="PT Astra Serif" w:eastAsia="PT Astra Serif" w:hAnsi="PT Astra Serif" w:cs="PT Astra Serif"/>
          <w:sz w:val="28"/>
          <w:szCs w:val="28"/>
        </w:rPr>
        <w:t>праздничный день или иной день, не являющийся рабочим в Российской Федерации, то выплаты осуществляются в первый рабочий день, следующий за датой выплаты купонного дохода по Облигациям и (или) датой выплаты погашаемой части номинальной стоимости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Владельцы Облигаций не имеют права требовать начисления процентов или какой-либо иной компенсации за такую задержку в платеже.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30. Налогообложение доходов от операций с Облигациями осуществляется в соответствии с законодательством Российской Федерации.</w:t>
      </w:r>
    </w:p>
    <w:p>
      <w:pPr>
        <w:pStyle w:val="ConsPlusNormal"/>
        <w:ind w:firstLine="709"/>
        <w:jc w:val="both"/>
        <w:rPr>
          <w:rFonts w:ascii="PT Astra Serif" w:hAnsi="PT Astra Serif" w:cs="PT Astra Serif"/>
          <w:sz w:val="28"/>
          <w:szCs w:val="28"/>
        </w:rPr>
      </w:pP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4. Выкуп облигаций, выпуск выкупленных</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облигаций в последующее обращение</w:t>
      </w:r>
    </w:p>
    <w:p>
      <w:pPr>
        <w:pStyle w:val="ConsPlusNormal"/>
        <w:ind w:firstLine="709"/>
        <w:jc w:val="both"/>
        <w:rPr>
          <w:rFonts w:ascii="PT Astra Serif" w:hAnsi="PT Astra Serif" w:cs="PT Astra Serif"/>
          <w:sz w:val="28"/>
          <w:szCs w:val="28"/>
        </w:rPr>
      </w:pPr>
    </w:p>
    <w:p>
      <w:pPr>
        <w:pStyle w:val="ConsPlusNormal"/>
        <w:ind w:firstLine="708"/>
        <w:jc w:val="both"/>
        <w:rPr>
          <w:rFonts w:ascii="PT Astra Serif" w:hAnsi="PT Astra Serif" w:cs="PT Astra Serif"/>
          <w:sz w:val="26"/>
          <w:szCs w:val="26"/>
        </w:rPr>
      </w:pPr>
      <w:r>
        <w:rPr>
          <w:rFonts w:ascii="PT Astra Serif" w:eastAsia="PT Astra Serif" w:hAnsi="PT Astra Serif" w:cs="PT Astra Serif"/>
          <w:sz w:val="28"/>
          <w:szCs w:val="28"/>
        </w:rPr>
        <w:t>31. Облигации могут быть выкуп</w:t>
      </w:r>
      <w:r>
        <w:rPr>
          <w:rFonts w:ascii="PT Astra Serif" w:eastAsia="PT Astra Serif" w:hAnsi="PT Astra Serif" w:cs="PT Astra Serif"/>
          <w:sz w:val="28"/>
          <w:szCs w:val="28"/>
        </w:rPr>
        <w:t>лены Эмитентом до срока их погашения с возможностью их последующего обращения с соблюдением требований (в том числе по определению цены выкупа), установленных законодательством Российской Федерации, в соответствии с Условиями эмиссии и Решением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32. Выкуп Облигаций может осуществл</w:t>
      </w:r>
      <w:r>
        <w:rPr>
          <w:rFonts w:ascii="PT Astra Serif" w:eastAsia="PT Astra Serif" w:hAnsi="PT Astra Serif" w:cs="PT Astra Serif"/>
          <w:sz w:val="28"/>
          <w:szCs w:val="28"/>
        </w:rPr>
        <w:t>яться путем заключения сделок купли-продажи Облигаций между Эмитентом в лице Генерального агента, действующего по поручению и за счет Эмитента, и владельцами Облигаций у Организатора торговли в соответствии с нормативными документами Организатора торговли.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33. Выкуп Облигаций осуществляется Эмитентом по цене, определенной с учетом теку</w:t>
      </w:r>
      <w:r>
        <w:rPr>
          <w:rFonts w:ascii="PT Astra Serif" w:eastAsia="PT Astra Serif" w:hAnsi="PT Astra Serif" w:cs="PT Astra Serif"/>
          <w:sz w:val="28"/>
          <w:szCs w:val="28"/>
        </w:rPr>
        <w:t>щей рыночной цены и объемов предложения и спроса на Облигации, за счет средств областного бюджета Томской области в соответствии с параметрами, установленными законом Томской области об областном бюджете на соответствующий финансовый год и плановый период.</w:t>
      </w: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Порядок выкупа размещенных Облигаций до даты их погашения с возможностью их последующего обращения устанавливается в Решении об эмиссии.</w:t>
      </w: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34. Выкупленные Эмитентом Облигации могут быть выпущены в последующее обращение в течение всего срока обращения Облигаций.</w:t>
      </w:r>
    </w:p>
    <w:p>
      <w:pPr>
        <w:pStyle w:val="ConsPlusNormal"/>
        <w:ind w:firstLine="709"/>
        <w:jc w:val="both"/>
        <w:rPr>
          <w:rFonts w:ascii="PT Astra Serif" w:hAnsi="PT Astra Serif" w:cs="PT Astra Serif"/>
          <w:sz w:val="26"/>
          <w:szCs w:val="26"/>
        </w:rPr>
      </w:pPr>
    </w:p>
    <w:p>
      <w:pPr>
        <w:pStyle w:val="ConsPlusNormal"/>
        <w:jc w:val="center"/>
        <w:outlineLvl w:val="1"/>
        <w:rPr>
          <w:rFonts w:ascii="PT Astra Serif" w:hAnsi="PT Astra Serif" w:cs="PT Astra Serif"/>
          <w:sz w:val="26"/>
          <w:szCs w:val="26"/>
        </w:rPr>
      </w:pPr>
      <w:r>
        <w:rPr>
          <w:rFonts w:ascii="PT Astra Serif" w:eastAsia="PT Astra Serif" w:hAnsi="PT Astra Serif" w:cs="PT Astra Serif"/>
          <w:sz w:val="28"/>
          <w:szCs w:val="28"/>
        </w:rPr>
        <w:t>5. Информация об Эмитенте</w:t>
      </w:r>
    </w:p>
    <w:p>
      <w:pPr>
        <w:pStyle w:val="ConsPlusNormal"/>
        <w:ind w:firstLine="709"/>
        <w:jc w:val="both"/>
        <w:rPr>
          <w:rFonts w:ascii="PT Astra Serif" w:hAnsi="PT Astra Serif" w:cs="PT Astra Serif"/>
          <w:sz w:val="26"/>
          <w:szCs w:val="26"/>
        </w:rPr>
      </w:pPr>
    </w:p>
    <w:p>
      <w:pPr>
        <w:ind w:firstLine="708"/>
        <w:jc w:val="both"/>
        <w:rPr>
          <w:rFonts w:ascii="PT Astra Serif" w:hAnsi="PT Astra Serif" w:cs="PT Astra Serif"/>
          <w:sz w:val="28"/>
          <w:szCs w:val="28"/>
        </w:rPr>
      </w:pPr>
      <w:r>
        <w:rPr>
          <w:rFonts w:ascii="PT Astra Serif" w:eastAsia="PT Astra Serif" w:hAnsi="PT Astra Serif" w:cs="PT Astra Serif"/>
          <w:sz w:val="28"/>
          <w:szCs w:val="28"/>
        </w:rPr>
        <w:t xml:space="preserve">35. В соответствии с </w:t>
      </w:r>
      <w:hyperlink r:id="rId7" w:tooltip="consultantplus://offline/ref=2EBF21FFDA401284AC5476D743A9072C55839A56CB0626B4476481AFB2130A68P0ACI" w:history="1">
        <w:r>
          <w:rPr>
            <w:rFonts w:ascii="PT Astra Serif" w:eastAsia="PT Astra Serif" w:hAnsi="PT Astra Serif" w:cs="PT Astra Serif"/>
            <w:sz w:val="28"/>
            <w:szCs w:val="28"/>
          </w:rPr>
          <w:t>Законом</w:t>
        </w:r>
      </w:hyperlink>
      <w:r>
        <w:rPr>
          <w:rFonts w:ascii="PT Astra Serif" w:eastAsia="PT Astra Serif" w:hAnsi="PT Astra Serif" w:cs="PT Astra Serif"/>
          <w:sz w:val="28"/>
          <w:szCs w:val="28"/>
        </w:rPr>
        <w:t xml:space="preserve"> Томской области от 29.12.2025 № 165-ОЗ «Об областном бюджете на 2026 год и на плановый период 2027 и 2028 годов» установлены следующие параметры областного бюджета на 2026 год:</w:t>
      </w:r>
    </w:p>
    <w:p>
      <w:pPr>
        <w:ind w:left="709"/>
        <w:jc w:val="both"/>
        <w:rPr>
          <w:rFonts w:ascii="PT Astra Serif" w:hAnsi="PT Astra Serif" w:cs="PT Astra Serif"/>
          <w:sz w:val="28"/>
          <w:szCs w:val="28"/>
        </w:rPr>
      </w:pPr>
      <w:r>
        <w:rPr>
          <w:rFonts w:ascii="PT Astra Serif" w:eastAsia="PT Astra Serif" w:hAnsi="PT Astra Serif" w:cs="PT Astra Serif"/>
          <w:sz w:val="28"/>
          <w:szCs w:val="28"/>
        </w:rPr>
        <w:t>общий объем доходов бюджета –  127 208 901,7 тыс. рублей;</w:t>
      </w:r>
    </w:p>
    <w:p>
      <w:pPr>
        <w:ind w:left="709"/>
        <w:rPr>
          <w:rFonts w:ascii="PT Astra Serif" w:hAnsi="PT Astra Serif" w:cs="PT Astra Serif"/>
          <w:sz w:val="28"/>
          <w:szCs w:val="28"/>
        </w:rPr>
      </w:pPr>
      <w:r>
        <w:rPr>
          <w:rFonts w:ascii="PT Astra Serif" w:eastAsia="PT Astra Serif" w:hAnsi="PT Astra Serif" w:cs="PT Astra Serif"/>
          <w:sz w:val="28"/>
          <w:szCs w:val="28"/>
        </w:rPr>
        <w:t>объем безвозмездных поступлений – 32 199 997,3 тыс. рублей;</w:t>
      </w:r>
    </w:p>
    <w:p>
      <w:pPr>
        <w:ind w:firstLine="709"/>
        <w:rPr>
          <w:rFonts w:ascii="PT Astra Serif" w:hAnsi="PT Astra Serif" w:cs="PT Astra Serif"/>
          <w:sz w:val="28"/>
          <w:szCs w:val="28"/>
        </w:rPr>
      </w:pPr>
      <w:r>
        <w:rPr>
          <w:rFonts w:ascii="PT Astra Serif" w:eastAsia="PT Astra Serif" w:hAnsi="PT Astra Serif" w:cs="PT Astra Serif"/>
          <w:sz w:val="28"/>
          <w:szCs w:val="28"/>
        </w:rPr>
        <w:t>объем межбюджетных трансфертов, получаемых из других бюджетов бюджетной системы Российской Федерации –  32 134 141,4 тыс. рублей;</w:t>
      </w:r>
    </w:p>
    <w:p>
      <w:pPr>
        <w:ind w:left="709"/>
        <w:jc w:val="both"/>
        <w:rPr>
          <w:rFonts w:ascii="PT Astra Serif" w:hAnsi="PT Astra Serif" w:cs="PT Astra Serif"/>
          <w:sz w:val="28"/>
          <w:szCs w:val="28"/>
        </w:rPr>
      </w:pPr>
      <w:bookmarkStart w:id="4" w:name="undefined"/>
      <w:bookmarkEnd w:id="4"/>
      <w:r>
        <w:rPr>
          <w:rFonts w:ascii="PT Astra Serif" w:eastAsia="PT Astra Serif" w:hAnsi="PT Astra Serif" w:cs="PT Astra Serif"/>
          <w:sz w:val="28"/>
          <w:szCs w:val="28"/>
        </w:rPr>
        <w:t>общий объем расходов бюджета – 127 437 078,4 тыс. рублей;</w:t>
      </w:r>
    </w:p>
    <w:p>
      <w:pPr>
        <w:ind w:firstLine="709"/>
        <w:jc w:val="both"/>
        <w:rPr>
          <w:rFonts w:ascii="PT Astra Serif" w:eastAsia="PT Astra Serif" w:hAnsi="PT Astra Serif" w:cs="PT Astra Serif"/>
          <w:sz w:val="28"/>
          <w:szCs w:val="28"/>
        </w:rPr>
      </w:pPr>
      <w:r>
        <w:rPr>
          <w:rFonts w:ascii="PT Astra Serif" w:eastAsia="PT Astra Serif" w:hAnsi="PT Astra Serif" w:cs="PT Astra Serif"/>
          <w:sz w:val="28"/>
          <w:szCs w:val="28"/>
        </w:rPr>
        <w:t>объем расходов на обслуживание государственного долга Томской области – 4 969 377,8  тыс. рублей;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дефицит бюджета -  228 176</w:t>
      </w:r>
      <w:r>
        <w:rPr>
          <w:rFonts w:ascii="PT Astra Serif" w:eastAsia="PT Astra Serif" w:hAnsi="PT Astra Serif" w:cs="PT Astra Serif"/>
          <w:sz w:val="28"/>
          <w:szCs w:val="28"/>
          <w:highlight w:val="white"/>
        </w:rPr>
        <w:t>,7 тыс. рублей;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верхний предел государственного внутреннего долга Томской области по состоянию на 1 января 2027 года – 51 802 118,6 тыс. рублей, в том числе верхний предел долга по государственным гарантиям Томской области - 0,0 тыс. рублей.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36. Суммарный объем государственного долга Томской области на дату утверждения настоящих Условий эмиссии составляет </w:t>
      </w:r>
      <w:r>
        <w:rPr>
          <w:rFonts w:ascii="PT Astra Serif" w:eastAsia="PT Astra Serif" w:hAnsi="PT Astra Serif" w:cs="PT Astra Serif"/>
          <w:sz w:val="28"/>
          <w:szCs w:val="28"/>
          <w:highlight w:val="white"/>
        </w:rPr>
        <w:t>58 186 403,3 тыс</w:t>
      </w:r>
      <w:r>
        <w:rPr>
          <w:rFonts w:ascii="PT Astra Serif" w:eastAsia="PT Astra Serif" w:hAnsi="PT Astra Serif" w:cs="PT Astra Serif"/>
          <w:sz w:val="28"/>
          <w:szCs w:val="28"/>
        </w:rPr>
        <w:t>. рублей.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37. Информация об исполнении областного бюджета Томской области за </w:t>
      </w:r>
      <w:hyperlink w:anchor="Par393" w:tooltip="#Par393" w:history="1">
        <w:r>
          <w:rPr>
            <w:rFonts w:ascii="PT Astra Serif" w:eastAsia="PT Astra Serif" w:hAnsi="PT Astra Serif" w:cs="PT Astra Serif"/>
            <w:sz w:val="28"/>
            <w:szCs w:val="28"/>
          </w:rPr>
          <w:t>2023, 2024, 2025 годы</w:t>
        </w:r>
      </w:hyperlink>
      <w:r>
        <w:rPr>
          <w:rFonts w:ascii="PT Astra Serif" w:eastAsia="PT Astra Serif" w:hAnsi="PT Astra Serif" w:cs="PT Astra Serif"/>
          <w:sz w:val="28"/>
          <w:szCs w:val="28"/>
        </w:rPr>
        <w:t>:</w:t>
      </w:r>
    </w:p>
    <w:tbl>
      <w:tblPr>
        <w:tblW w:w="49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860"/>
        <w:gridCol w:w="3450"/>
        <w:gridCol w:w="1801"/>
        <w:gridCol w:w="1801"/>
        <w:gridCol w:w="1805"/>
      </w:tblGrid>
      <w:tr>
        <w:tblPrEx>
          <w:tblW w:w="49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Ex>
        <w:tc>
          <w:tcPr>
            <w:tcW w:w="860" w:type="dxa"/>
            <w:vMerge w:val="restart"/>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N п/п</w:t>
            </w:r>
          </w:p>
        </w:tc>
        <w:tc>
          <w:tcPr>
            <w:tcW w:w="3450" w:type="dxa"/>
            <w:vMerge w:val="restart"/>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Наименование показателей</w:t>
            </w:r>
          </w:p>
        </w:tc>
        <w:tc>
          <w:tcPr>
            <w:tcW w:w="5407" w:type="dxa"/>
            <w:gridSpan w:val="3"/>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Исполнено, тыс. руб.</w:t>
            </w:r>
          </w:p>
        </w:tc>
      </w:tr>
      <w:tr>
        <w:tblPrEx>
          <w:tblW w:w="4977" w:type="pct"/>
          <w:tblLayout w:type="fixed"/>
          <w:tblCellMar>
            <w:top w:w="102" w:type="dxa"/>
            <w:left w:w="62" w:type="dxa"/>
            <w:bottom w:w="102" w:type="dxa"/>
            <w:right w:w="62" w:type="dxa"/>
          </w:tblCellMar>
          <w:tblLook w:val="04A0"/>
        </w:tblPrEx>
        <w:tc>
          <w:tcPr>
            <w:tcW w:w="860" w:type="dxa"/>
            <w:vMerge/>
            <w:noWrap w:val="0"/>
            <w:textDirection w:val="lrTb"/>
            <w:vAlign w:val="center"/>
          </w:tcPr>
          <w:p>
            <w:pPr>
              <w:pStyle w:val="ConsPlusNormal"/>
              <w:jc w:val="center"/>
              <w:rPr>
                <w:sz w:val="26"/>
                <w:szCs w:val="26"/>
              </w:rPr>
            </w:pPr>
          </w:p>
        </w:tc>
        <w:tc>
          <w:tcPr>
            <w:tcW w:w="3450" w:type="dxa"/>
            <w:vMerge/>
            <w:noWrap w:val="0"/>
            <w:textDirection w:val="lrTb"/>
            <w:vAlign w:val="center"/>
          </w:tcPr>
          <w:p>
            <w:pPr>
              <w:pStyle w:val="ConsPlusNormal"/>
              <w:rPr>
                <w:sz w:val="26"/>
                <w:szCs w:val="26"/>
              </w:rPr>
            </w:pPr>
          </w:p>
        </w:tc>
        <w:tc>
          <w:tcPr>
            <w:tcW w:w="180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2023 год</w:t>
            </w:r>
          </w:p>
        </w:tc>
        <w:tc>
          <w:tcPr>
            <w:tcW w:w="180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2024 год</w:t>
            </w:r>
          </w:p>
        </w:tc>
        <w:tc>
          <w:tcPr>
            <w:tcW w:w="1805"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2025 год</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w:t>
            </w:r>
          </w:p>
        </w:tc>
        <w:tc>
          <w:tcPr>
            <w:tcW w:w="3450"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w:t>
            </w:r>
          </w:p>
        </w:tc>
        <w:tc>
          <w:tcPr>
            <w:tcW w:w="180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3</w:t>
            </w:r>
          </w:p>
        </w:tc>
        <w:tc>
          <w:tcPr>
            <w:tcW w:w="180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4</w:t>
            </w:r>
          </w:p>
        </w:tc>
        <w:tc>
          <w:tcPr>
            <w:tcW w:w="1805"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5</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1</w:t>
            </w:r>
          </w:p>
        </w:tc>
        <w:tc>
          <w:tcPr>
            <w:tcW w:w="8857" w:type="dxa"/>
            <w:gridSpan w:val="4"/>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ДОХОДЫ</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Налоговые и неналоговые доходы: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75 248 182,4</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78 030 998,8</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75 906 320,2</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прибыль, доходы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47 303 619,5</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47 059 821,5</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46 023 287,0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товары (работы, услуги), реализуемые на территории Российской Федерации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12 427 964,9</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14 095 027,4</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13 408 880,8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1.1.3</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совокупный доход</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3 992 055,0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5 184 300,0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5 666 568,5</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1.1.4</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имущество</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8 745 197,3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8 782 790,6</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8 104 280,7</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1.1.5</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сборы и регулярные платежи за пользование природными ресурсами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20 803,0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27 738,7</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31 014,5</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1.1.6</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Госпошлина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152 636,3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136 595,5</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140 845,3</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1.1.7</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Задолженность и перерасчеты по отмененным налогам, сборам и иным обязательным платежам</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-0,7</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1 929 506,0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1 924,6</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1.1.8</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использования имущества, находящегося в государственной и муниципальной собственности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487 114,2</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497 551,4</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443 121,8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1.1.9</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Платежи при пользовании природными ресурсами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1 252 054,3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959 783,2</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819 013,8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1.1.10</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оказания платных услуг (работ) и компенсации затрат государства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148 390,2</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197 650,0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193 668,0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продажи материальных и нематериальных активов</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2 718,5</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5 377 329,0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280,5</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Административные платежи и сборы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2 318,5</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57,9</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52,6</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1.1.13</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Штрафы, санкции, возмещение ущерба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713 466,3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1 085 376,1</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1 071 721,9</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1.1.14</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неналоговые доходы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-154,9</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858,6</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1 660,1</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29 187 657,6</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31 130 921,6</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30 468 222,7</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 xml:space="preserve">Безвозмездные поступления от других бюджетов бюджетной </w:t>
            </w:r>
            <w:r>
              <w:rPr>
                <w:rFonts w:ascii="PT Astra Serif" w:eastAsia="PT Astra Serif" w:hAnsi="PT Astra Serif" w:cs="PT Astra Serif"/>
                <w:sz w:val="28"/>
                <w:szCs w:val="28"/>
              </w:rPr>
              <w:t>системы Российской Федерации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26 623 726,2</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29 731 592,7</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29 898 642,0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государственных (муниципальных) организаций</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1 567 151,0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730 931,5</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122 024,6</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1.2.3</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негосударственных организаций</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11 840,6</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17 738,5</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22 119,4</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1.2.4</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безвозмездные поступления</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9 042,3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8 630,3</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308,6</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1.2.5</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 субвенций и иных межбюджетных трансфертов, имеющих целевое назначение, прошлых лет</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1 135 479,5</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784 218,3</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1 122 514,3</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1.2.6</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Возврат остатков субсидий, субвенций и иных межбюджетных трансфертов, имеющих целевое назначение, прошлых лет</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-159 582,0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-142 189,7</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- 697 386,3</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ДОХОДОВ</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104 435 840,0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109 161 920,4</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106 374 542,9</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2</w:t>
            </w:r>
          </w:p>
        </w:tc>
        <w:tc>
          <w:tcPr>
            <w:tcW w:w="8857" w:type="dxa"/>
            <w:gridSpan w:val="4"/>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РАСХОДЫ</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Общегосударственные вопросы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3 646 008,2</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4 329 894,8</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4 952 747,4</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оборона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50 626,1</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50 003,5</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53 562,8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2.3</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 xml:space="preserve">Национальная </w:t>
            </w:r>
            <w:r>
              <w:rPr>
                <w:rFonts w:ascii="PT Astra Serif" w:eastAsia="PT Astra Serif" w:hAnsi="PT Astra Serif" w:cs="PT Astra Serif"/>
                <w:sz w:val="28"/>
                <w:szCs w:val="28"/>
              </w:rPr>
              <w:t>безопасность и правоохранительная деятельность</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6 525 192,7</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1 275 045,7</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1 521 333,0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2.4</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экономика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17 966 459,6</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19 567 134,5</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19 237 469,3</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2.5</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Жилищно-коммунальное хозяйство</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1 059 051,2</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3 204 141,4</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4 827 002,9</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2.6</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Охрана окружающей среды</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416 354,7</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426 701,8</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282 548,0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2.7</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Образование</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28 339 460,7</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32 504 035,9</w:t>
            </w:r>
          </w:p>
        </w:tc>
        <w:tc>
          <w:tcPr>
            <w:tcW w:w="1805" w:type="dxa"/>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35 069 807,2</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2.8</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Культура, кинематография</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2 710 029,5</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3 328 355,0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3 302 646,8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2.9</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Здравоохранение</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9 194 424,1</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8 935 451,8</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11 103 508,1</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2.10</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Социальная политика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24 629 902,8</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25 501 284,0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31 094 997,8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2.11</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Физическая культура и спорт</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522 595,9</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844 680,0</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835 917,0</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2.12</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Средства массовой информации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121 609,1</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129 213,7</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164 486,2</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2.13</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Обслуживание государственного и муниципального долга</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957 673,3</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1 161 089,5</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2 961 429,9</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2.14</w:t>
            </w: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Межбюджетные трансферты общего характера бюджетам бюджетной системы Российской Федерации</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7 768 622,0</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9 324 155,2</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9 446 </w:t>
            </w:r>
            <w:r>
              <w:rPr>
                <w:rFonts w:ascii="PT Astra Serif" w:hAnsi="PT Astra Serif" w:cs="PT Astra Serif"/>
                <w:sz w:val="28"/>
                <w:szCs w:val="28"/>
                <w:highlight w:val="white"/>
              </w:rPr>
              <w:t>051,8</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jc w:val="center"/>
              <w:rPr>
                <w:rFonts w:ascii="PT Astra Serif" w:hAnsi="PT Astra Serif" w:cs="PT Astra Serif"/>
                <w:sz w:val="26"/>
                <w:szCs w:val="26"/>
              </w:rPr>
            </w:pP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РАСХОДОВ</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103 908 009,9</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110 581 186,9</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124 853 508,2</w:t>
            </w:r>
          </w:p>
        </w:tc>
      </w:tr>
      <w:tr>
        <w:tblPrEx>
          <w:tblW w:w="4977" w:type="pct"/>
          <w:tblLayout w:type="fixed"/>
          <w:tblCellMar>
            <w:top w:w="102" w:type="dxa"/>
            <w:left w:w="62" w:type="dxa"/>
            <w:bottom w:w="102" w:type="dxa"/>
            <w:right w:w="62" w:type="dxa"/>
          </w:tblCellMar>
          <w:tblLook w:val="04A0"/>
        </w:tblPrEx>
        <w:tc>
          <w:tcPr>
            <w:tcW w:w="860" w:type="dxa"/>
            <w:noWrap w:val="0"/>
            <w:textDirection w:val="lrTb"/>
            <w:vAlign w:val="center"/>
          </w:tcPr>
          <w:p>
            <w:pPr>
              <w:pStyle w:val="ConsPlusNormal"/>
              <w:jc w:val="center"/>
              <w:rPr>
                <w:rFonts w:ascii="PT Astra Serif" w:hAnsi="PT Astra Serif" w:cs="PT Astra Serif"/>
                <w:sz w:val="26"/>
                <w:szCs w:val="26"/>
              </w:rPr>
            </w:pPr>
          </w:p>
        </w:tc>
        <w:tc>
          <w:tcPr>
            <w:tcW w:w="34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Превышение расходов над доходами (дефицит «-») Превышение доходов над расходами (профицит «+»)</w:t>
            </w:r>
          </w:p>
        </w:tc>
        <w:tc>
          <w:tcPr>
            <w:tcW w:w="1801"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527 830,1</w:t>
            </w:r>
          </w:p>
        </w:tc>
        <w:tc>
          <w:tcPr>
            <w:tcW w:w="180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-1 419 266,5</w:t>
            </w:r>
          </w:p>
        </w:tc>
        <w:tc>
          <w:tcPr>
            <w:tcW w:w="1805" w:type="dxa"/>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-18 478 965,3</w:t>
            </w:r>
          </w:p>
        </w:tc>
      </w:tr>
    </w:tbl>
    <w:p>
      <w:pPr>
        <w:pBdr>
          <w:right w:val="nil"/>
        </w:pBdr>
        <w:tabs>
          <w:tab w:val="left" w:pos="7088"/>
        </w:tabs>
        <w:jc w:val="both"/>
        <w:rPr>
          <w:rFonts w:ascii="PT Astra Serif" w:hAnsi="PT Astra Serif"/>
          <w:sz w:val="18"/>
          <w:szCs w:val="18"/>
        </w:rPr>
      </w:pPr>
    </w:p>
    <w:sectPr>
      <w:headerReference w:type="default" r:id="rId8"/>
      <w:headerReference w:type="first" r:id="rId9"/>
      <w:type w:val="continuous"/>
      <w:pgSz w:w="11907" w:h="16840" w:orient="portrait"/>
      <w:pgMar w:top="1134" w:right="851" w:bottom="1134" w:left="1418" w:header="737" w:footer="284" w:gutter="0"/>
      <w:pgNumType w:start="1"/>
      <w:cols w:num="1" w:sep="0" w:space="720" w:equalWidth="1"/>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default"/>
  </w:font>
  <w:font w:name="Calibri">
    <w:panose1 w:val="020F0502020204030204"/>
    <w:charset w:val="00"/>
    <w:family w:val="auto"/>
    <w:pitch w:val="default"/>
  </w:font>
  <w:font w:name="Tahoma">
    <w:panose1 w:val="020B0604030504040204"/>
    <w:charset w:val="00"/>
    <w:family w:val="auto"/>
    <w:pitch w:val="default"/>
  </w:font>
  <w:font w:name="PT Astra Serif">
    <w:panose1 w:val="020A0603040505020204"/>
    <w:charset w:val="00"/>
    <w:family w:val="auto"/>
    <w:pitch w:val="default"/>
  </w:font>
  <w:font w:name="Arial">
    <w:panose1 w:val="020B0604020202020204"/>
    <w:charset w:val="00"/>
    <w:family w:val="auto"/>
    <w:pitch w:val="default"/>
  </w:font>
  <w:font w:name="Cambria">
    <w:panose1 w:val="02040503050406030204"/>
    <w:charset w:val="00"/>
    <w:family w:val="auto"/>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pacing w:before="0"/>
      <w:rPr>
        <w:rFonts w:ascii="PT Astra Serif" w:hAnsi="PT Astra Serif"/>
        <w:b w:val="0"/>
        <w:szCs w:val="28"/>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after="120"/>
      <w:jc w:val="center"/>
      <w:rPr>
        <w:rFonts w:ascii="PT Astra Serif" w:eastAsia="PT Astra Serif" w:hAnsi="PT Astra Serif" w:cs="PT Astra Serif"/>
        <w:b/>
        <w:sz w:val="12"/>
        <w:szCs w:val="12"/>
      </w:rPr>
    </w:pPr>
    <w:r>
      <w:rPr>
        <w:rFonts w:ascii="PT Astra Serif" w:eastAsia="PT Astra Serif" w:hAnsi="PT Astra Serif" w:cs="PT Astra Seri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customStyle="1"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band1Horz">
      <w:tblPr/>
      <w:tcPr>
        <w:shd w:val="clear" w:color="F2F2F2" w:fill="auto" w:themeColor="text1" w:themeTint="0D"/>
      </w:tcPr>
    </w:tblStylePr>
    <w:tblStylePr w:type="band1Vert">
      <w:tblPr/>
      <w:tcPr>
        <w:shd w:val="clear" w:color="F2F2F2" w:fill="auto"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band1Horz">
      <w:tblPr/>
      <w:tcPr>
        <w:tcBorders>
          <w:top w:val="single" w:sz="4" w:space="0" w:color="000000" w:themeColor="text1"/>
          <w:bottom w:val="single" w:sz="4" w:space="0" w:color="000000" w:themeColor="text1"/>
        </w:tcBorders>
      </w:tc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3">
    <w:name w:val="Plain Table 3"/>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aps/>
        <w:color w:val="404040"/>
      </w:rPr>
      <w:tblPr/>
      <w:tcPr>
        <w:tcBorders>
          <w:top w:val="nil"/>
          <w:left w:val="nil"/>
          <w:bottom w:val="nil"/>
          <w:right w:val="single" w:sz="4" w:space="0" w:color="404040"/>
        </w:tcBorders>
      </w:tcPr>
    </w:tblStylePr>
    <w:tblStylePr w:type="firstRow">
      <w:rPr>
        <w:b/>
        <w:caps/>
        <w:color w:val="404040"/>
      </w:rPr>
      <w:tblPr/>
      <w:tcPr>
        <w:tcBorders>
          <w:top w:val="nil"/>
          <w:left w:val="nil"/>
          <w:bottom w:val="single" w:sz="4" w:space="0" w:color="404040"/>
          <w:right w:val="nil"/>
        </w:tcBorders>
      </w:tcPr>
    </w:tblStylePr>
    <w:tblStylePr w:type="lastCol">
      <w:rPr>
        <w:b/>
        <w:caps/>
        <w:color w:val="404040"/>
      </w:rPr>
    </w:tblStylePr>
    <w:tblStylePr w:type="lastRow">
      <w:rPr>
        <w:b/>
        <w:caps/>
        <w:color w:val="404040"/>
      </w:rPr>
    </w:tblStylePr>
  </w:style>
  <w:style w:type="table" w:customStyle="1" w:styleId="PlainTable4">
    <w:name w:val="Plain Table 4"/>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customStyle="1" w:styleId="PlainTable5">
    <w:name w:val="Plain Table 5"/>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pPr>
        <w:jc w:val="right"/>
      </w:pPr>
      <w:rPr>
        <w:i/>
        <w:color w:val="404040"/>
      </w:rPr>
      <w:tblPr/>
      <w:tcPr>
        <w:tcBorders>
          <w:right w:val="single" w:sz="4" w:space="0" w:color="404040"/>
        </w:tcBorders>
        <w:shd w:val="clear" w:color="FFFFFF" w:fill="auto"/>
      </w:tcPr>
    </w:tblStylePr>
    <w:tblStylePr w:type="firstRow">
      <w:rPr>
        <w:i/>
        <w:color w:val="404040"/>
      </w:rPr>
      <w:tblPr/>
      <w:tcPr>
        <w:tcBorders>
          <w:left w:val="nil"/>
          <w:bottom w:val="single" w:sz="4" w:space="0" w:color="404040"/>
          <w:right w:val="nil"/>
        </w:tcBorders>
        <w:shd w:val="clear" w:color="FFFFFF" w:fill="auto"/>
      </w:tcPr>
    </w:tblStylePr>
    <w:tblStylePr w:type="lastCol">
      <w:rPr>
        <w:i/>
        <w:color w:val="404040"/>
      </w:rPr>
      <w:tblPr/>
      <w:tcPr>
        <w:tcBorders>
          <w:left w:val="single" w:sz="4" w:space="0" w:color="404040"/>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style>
  <w:style w:type="table" w:customStyle="1"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tblStylePr w:type="firstCol">
      <w:rPr>
        <w:b/>
        <w:color w:val="404040"/>
      </w:rPr>
    </w:tblStylePr>
    <w:tblStylePr w:type="firstRow">
      <w:rPr>
        <w:b/>
        <w:color w:val="404040"/>
      </w:rPr>
      <w:tblPr/>
      <w:tcPr>
        <w:tcBorders>
          <w:bottom w:val="single" w:sz="12" w:space="0" w:color="6A6A6A" w:themeColor="text1" w:themeTint="95"/>
        </w:tcBorders>
      </w:tcPr>
    </w:tblStylePr>
    <w:tblStylePr w:type="lastCol">
      <w:rPr>
        <w:b/>
        <w:color w:val="404040"/>
      </w:rPr>
    </w:tblStylePr>
    <w:tblStylePr w:type="lastRow">
      <w:rPr>
        <w:b/>
        <w:color w:val="404040"/>
      </w:rPr>
    </w:tblStylePr>
  </w:style>
  <w:style w:type="table" w:customStyle="1"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Col">
      <w:rPr>
        <w:b/>
        <w:color w:val="404040"/>
      </w:r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style>
  <w:style w:type="table" w:customStyle="1"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style>
  <w:style w:type="table" w:customStyle="1"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Col">
      <w:rPr>
        <w:b/>
        <w:color w:val="404040"/>
      </w:rPr>
    </w:tblStylePr>
    <w:tblStylePr w:type="lastRow">
      <w:rPr>
        <w:b/>
        <w:color w:val="404040"/>
      </w:rPr>
      <w:tblPr/>
      <w:tcPr>
        <w:tcBorders>
          <w:top w:val="single" w:sz="4" w:space="0" w:color="000000" w:themeColor="text1"/>
        </w:tcBorders>
      </w:tcPr>
    </w:tblStylePr>
  </w:style>
  <w:style w:type="table" w:customStyle="1"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band1Horz">
      <w:tblPr/>
      <w:tcPr>
        <w:shd w:val="clear" w:color="8A8A8A" w:fill="auto" w:themeColor="text1" w:themeTint="75"/>
      </w:tcPr>
    </w:tblStylePr>
    <w:tblStylePr w:type="band1Vert">
      <w:tblPr/>
      <w:tcPr>
        <w:shd w:val="clear" w:color="8A8A8A" w:fill="auto" w:themeColor="text1" w:themeTint="75"/>
      </w:tcPr>
    </w:tblStylePr>
    <w:tblStylePr w:type="firstCol">
      <w:rPr>
        <w:rFonts w:ascii="Arial" w:hAnsi="Arial"/>
        <w:b/>
        <w:color w:val="FFFFFF"/>
        <w:sz w:val="22"/>
      </w:rPr>
      <w:tblPr/>
      <w:tcPr>
        <w:shd w:val="clear" w:color="000000" w:fill="auto" w:themeColor="text1"/>
      </w:tcPr>
    </w:tblStylePr>
    <w:tblStylePr w:type="firstRow">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style>
  <w:style w:type="table" w:customStyle="1"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CBCBCB" w:fill="auto" w:themeColor="text1" w:themeTint="34"/>
      </w:tcPr>
    </w:tblStylePr>
    <w:tblStylePr w:type="band1Vert">
      <w:tblPr/>
      <w:tcPr>
        <w:shd w:val="clear" w:color="CBCBCB" w:fill="auto" w:themeColor="text1" w:themeTint="34"/>
      </w:tcPr>
    </w:tblStylePr>
    <w:tblStylePr w:type="band2Horz">
      <w:rPr>
        <w:rFonts w:ascii="Arial" w:hAnsi="Arial"/>
        <w:color w:val="7F7F7F" w:themeColor="text1" w:themeShade="95" w:themeTint="80"/>
        <w:sz w:val="22"/>
      </w:rPr>
    </w:tblStylePr>
    <w:tblStylePr w:type="firstCol">
      <w:rPr>
        <w:b/>
        <w:color w:val="7F7F7F" w:themeColor="text1" w:themeShade="95" w:themeTint="80"/>
      </w:rPr>
    </w:tblStylePr>
    <w:tblStylePr w:type="firstRow">
      <w:rPr>
        <w:b/>
        <w:color w:val="7F7F7F" w:themeColor="text1" w:themeShade="95" w:themeTint="80"/>
      </w:rPr>
      <w:tblPr/>
      <w:tcPr>
        <w:tcBorders>
          <w:bottom w:val="single" w:sz="12" w:space="0" w:color="7F7F7F" w:themeColor="text1" w:themeTint="80"/>
        </w:tcBorders>
      </w:tcPr>
    </w:tblStylePr>
    <w:tblStylePr w:type="lastCol">
      <w:rPr>
        <w:b/>
        <w:color w:val="7F7F7F" w:themeColor="text1" w:themeShade="95" w:themeTint="80"/>
      </w:rPr>
    </w:tblStylePr>
    <w:tblStylePr w:type="lastRow">
      <w:rPr>
        <w:b/>
        <w:color w:val="7F7F7F" w:themeColor="text1" w:themeShade="95" w:themeTint="80"/>
      </w:rPr>
    </w:tblStylePr>
  </w:style>
  <w:style w:type="table" w:customStyle="1"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F2F2F2" w:fill="auto" w:themeColor="text1" w:themeTint="0D"/>
      </w:tcPr>
    </w:tblStylePr>
    <w:tblStylePr w:type="band1Vert">
      <w:tblPr/>
      <w:tcPr>
        <w:shd w:val="clear" w:color="F2F2F2" w:fill="auto" w:themeColor="text1" w:themeTint="0D"/>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table" w:customStyle="1" w:styleId="ListTable1Light">
    <w:name w:val="List Table 1 Light"/>
    <w:basedOn w:val="TableNormal"/>
    <w:uiPriority w:val="99"/>
    <w:tblPr>
      <w:tblStyleRowBandSize w:val="1"/>
      <w:tblStyleColBandSize w:val="1"/>
    </w:tblPr>
    <w:tblStylePr w:type="band1Horz">
      <w:tblPr/>
      <w:tcPr>
        <w:shd w:val="clear" w:color="BFBFBF" w:fill="auto" w:themeColor="text1" w:themeTint="40"/>
      </w:tcPr>
    </w:tblStylePr>
    <w:tblStylePr w:type="band1Vert">
      <w:tblPr/>
      <w:tcPr>
        <w:shd w:val="clear" w:color="BFBFBF" w:fill="auto" w:themeColor="text1" w:themeTint="40"/>
      </w:tcPr>
    </w:tblStylePr>
    <w:tblStylePr w:type="firstCol">
      <w:rPr>
        <w:b/>
        <w:color w:val="404040"/>
      </w:rPr>
    </w:tblStylePr>
    <w:tblStylePr w:type="firstRow">
      <w:rPr>
        <w:b/>
        <w:color w:val="404040"/>
      </w:rPr>
      <w:tblPr/>
      <w:tcPr>
        <w:tcBorders>
          <w:top w:val="nil"/>
          <w:left w:val="nil"/>
          <w:bottom w:val="single" w:sz="4" w:space="0" w:color="000000" w:themeColor="text1"/>
          <w:right w:val="nil"/>
        </w:tcBorders>
      </w:tcPr>
    </w:tblStylePr>
    <w:tblStylePr w:type="lastCol">
      <w:rPr>
        <w:b/>
        <w:color w:val="404040"/>
      </w:rPr>
    </w:tblStylePr>
    <w:tblStylePr w:type="lastRow">
      <w:rPr>
        <w:b/>
        <w:color w:val="404040"/>
      </w:rPr>
      <w:tblPr/>
      <w:tcPr>
        <w:tcBorders>
          <w:top w:val="single" w:sz="4" w:space="0" w:color="000000" w:themeColor="text1"/>
          <w:left w:val="nil"/>
          <w:bottom w:val="nil"/>
          <w:right w:val="nil"/>
        </w:tcBorders>
      </w:tcPr>
    </w:tblStylePr>
  </w:style>
  <w:style w:type="table" w:customStyle="1"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style>
  <w:style w:type="table" w:customStyle="1"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band1Horz">
      <w:rPr>
        <w:rFonts w:ascii="Arial" w:hAnsi="Arial"/>
        <w:color w:val="404040"/>
        <w:sz w:val="22"/>
      </w:rPr>
      <w:tblPr/>
      <w:tcPr>
        <w:tcBorders>
          <w:top w:val="single" w:sz="4" w:space="0" w:color="000000" w:themeColor="text1"/>
          <w:bottom w:val="single" w:sz="4" w:space="0" w:color="000000" w:themeColor="text1"/>
        </w:tcBorders>
      </w:tc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customStyle="1"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customStyle="1"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Col">
      <w:tblPr/>
      <w:tcPr>
        <w:tcBorders>
          <w:left w:val="single" w:sz="4" w:space="0" w:color="FFFFFF" w:themeColor="light1"/>
          <w:right w:val="single" w:sz="32" w:space="0" w:color="7F7F7F" w:themeColor="text1" w:themeTint="80"/>
        </w:tcBorders>
      </w:tcPr>
    </w:tblStylePr>
    <w:tblStylePr w:type="lastRow">
      <w:rPr>
        <w:rFonts w:ascii="Arial" w:hAnsi="Arial"/>
        <w:b/>
        <w:color w:val="FFFFFF" w:themeColor="light1"/>
        <w:sz w:val="22"/>
      </w:rPr>
    </w:tblStylePr>
  </w:style>
  <w:style w:type="table" w:customStyle="1"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band1Horz">
      <w:rPr>
        <w:rFonts w:ascii="Arial" w:hAnsi="Arial"/>
        <w:color w:val="000000" w:themeColor="text1"/>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blPr/>
      <w:tcPr>
        <w:tcBorders>
          <w:bottom w:val="single" w:sz="4" w:space="0" w:color="7F7F7F" w:themeColor="text1" w:themeTint="80"/>
        </w:tcBorders>
      </w:tcPr>
    </w:tblStylePr>
    <w:tblStylePr w:type="lastCol">
      <w:rPr>
        <w:b/>
        <w:color w:val="000000" w:themeColor="text1"/>
      </w:rPr>
    </w:tblStylePr>
    <w:tblStylePr w:type="lastRow">
      <w:rPr>
        <w:b/>
        <w:color w:val="000000" w:themeColor="text1"/>
      </w:rPr>
      <w:tblPr/>
      <w:tcPr>
        <w:tcBorders>
          <w:top w:val="single" w:sz="4" w:space="0" w:color="7F7F7F" w:themeColor="text1" w:themeTint="80"/>
        </w:tcBorders>
      </w:tcPr>
    </w:tblStylePr>
  </w:style>
  <w:style w:type="table" w:customStyle="1"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band1Horz">
      <w:rPr>
        <w:rFonts w:ascii="Arial" w:hAnsi="Arial"/>
        <w:color w:val="7F7F7F" w:themeColor="text1" w:themeShade="95" w:themeTint="80"/>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Название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paragraph" w:customStyle="1" w:styleId="ConsPlusTitle">
    <w:name w:val="ConsPlusTitle"/>
    <w:pPr>
      <w:widowControl w:val="0"/>
      <w:pBdr>
        <w:top w:val="nil"/>
        <w:left w:val="nil"/>
        <w:bottom w:val="nil"/>
        <w:right w:val="nil"/>
        <w:between w:val="nil"/>
      </w:pBd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ref=D523E86BA2935134C04978F4A5A7A36278CB6038695CAE4F6FAE2C82C3978C9DE5BB2B67819AD8DD788CB1A1gFF" TargetMode="External" /><Relationship Id="rId5" Type="http://schemas.openxmlformats.org/officeDocument/2006/relationships/hyperlink" Target="consultantplus://offline/ref=D523E86BA2935134C04978F4A5A7A36278CB6038695CAE4F6FAE2C82C3978C9DE5BB2B67819AD8DD788CB6A1gFF" TargetMode="External" /><Relationship Id="rId6" Type="http://schemas.openxmlformats.org/officeDocument/2006/relationships/hyperlink" Target="https://login.consultant.ru/link/?req=doc&amp;base=RLAW049&amp;n=175638&amp;dst=100096" TargetMode="External" /><Relationship Id="rId7" Type="http://schemas.openxmlformats.org/officeDocument/2006/relationships/hyperlink" Target="consultantplus://offline/ref=2EBF21FFDA401284AC5476D743A9072C55839A56CB0626B4476481AFB2130A68P0ACI" TargetMode="External"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revision>27</cp:revision>
  <dcterms:created xsi:type="dcterms:W3CDTF">2023-07-12T03:10:00Z</dcterms:created>
  <dcterms:modified xsi:type="dcterms:W3CDTF">2026-02-17T04:03:05Z</dcterms:modified>
</cp:coreProperties>
</file>