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А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нализ обращений граждан по финансовым вопросам, поступивши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х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 в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jc w:val="center"/>
        <w:spacing w:after="0" w:line="240" w:lineRule="auto"/>
        <w:rPr>
          <w:rFonts w:ascii="PT Astra Serif" w:hAnsi="PT Astra Serif"/>
          <w:b/>
          <w:sz w:val="28"/>
          <w:szCs w:val="24"/>
          <w:u w:val="single"/>
        </w:rPr>
      </w:pPr>
      <w:r>
        <w:rPr>
          <w:rFonts w:ascii="PT Astra Serif" w:hAnsi="PT Astra Serif"/>
          <w:b/>
          <w:sz w:val="28"/>
          <w:szCs w:val="24"/>
          <w:u w:val="single"/>
        </w:rPr>
        <w:t xml:space="preserve">Департамент 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ф</w:t>
      </w:r>
      <w:r>
        <w:rPr>
          <w:rFonts w:ascii="PT Astra Serif" w:hAnsi="PT Astra Serif"/>
          <w:b/>
          <w:sz w:val="28"/>
          <w:szCs w:val="24"/>
          <w:u w:val="single"/>
        </w:rPr>
        <w:t xml:space="preserve">инансов Томской области за 2025 год.</w:t>
      </w:r>
      <w:r>
        <w:rPr>
          <w:rFonts w:ascii="PT Astra Serif" w:hAnsi="PT Astra Serif"/>
          <w:b/>
          <w:sz w:val="28"/>
          <w:szCs w:val="24"/>
          <w:u w:val="single"/>
        </w:rPr>
      </w:r>
      <w:r>
        <w:rPr>
          <w:rFonts w:ascii="PT Astra Serif" w:hAnsi="PT Astra Serif"/>
          <w:b/>
          <w:sz w:val="28"/>
          <w:szCs w:val="24"/>
          <w:u w:val="single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color w:val="00b050"/>
          <w:sz w:val="24"/>
          <w:szCs w:val="24"/>
        </w:rPr>
      </w:pP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  <w:r>
        <w:rPr>
          <w:rFonts w:ascii="PT Astra Serif" w:hAnsi="PT Astra Serif"/>
          <w:color w:val="00b050"/>
          <w:sz w:val="24"/>
          <w:szCs w:val="24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white"/>
        </w:rPr>
      </w:pPr>
      <w:r>
        <w:rPr>
          <w:rFonts w:ascii="PT Astra Serif" w:hAnsi="PT Astra Serif" w:eastAsia="Calibri"/>
          <w:highlight w:val="none"/>
        </w:rPr>
        <w:t xml:space="preserve">За</w:t>
      </w:r>
      <w:r>
        <w:rPr>
          <w:rFonts w:ascii="PT Astra Serif" w:hAnsi="PT Astra Serif" w:eastAsia="Calibri"/>
          <w:highlight w:val="none"/>
        </w:rPr>
        <w:t xml:space="preserve"> 12 месяцев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2025</w:t>
      </w:r>
      <w:r>
        <w:rPr>
          <w:rFonts w:ascii="PT Astra Serif" w:hAnsi="PT Astra Serif" w:eastAsia="Calibri"/>
          <w:highlight w:val="white"/>
        </w:rPr>
        <w:t xml:space="preserve"> год</w:t>
      </w:r>
      <w:r>
        <w:rPr>
          <w:rFonts w:ascii="PT Astra Serif" w:hAnsi="PT Astra Serif" w:eastAsia="Calibri"/>
          <w:highlight w:val="white"/>
        </w:rPr>
        <w:t xml:space="preserve">а </w:t>
      </w:r>
      <w:r>
        <w:rPr>
          <w:rFonts w:ascii="PT Astra Serif" w:hAnsi="PT Astra Serif" w:eastAsia="Calibri"/>
          <w:highlight w:val="white"/>
        </w:rPr>
        <w:t xml:space="preserve">в Департамент финанс</w:t>
      </w:r>
      <w:r>
        <w:rPr>
          <w:rFonts w:ascii="PT Astra Serif" w:hAnsi="PT Astra Serif" w:eastAsia="Calibri"/>
          <w:highlight w:val="white"/>
        </w:rPr>
        <w:t xml:space="preserve">ов Томской области </w:t>
      </w:r>
      <w:r>
        <w:rPr>
          <w:rFonts w:ascii="PT Astra Serif" w:hAnsi="PT Astra Serif" w:eastAsia="Calibri"/>
          <w:highlight w:val="white"/>
        </w:rPr>
        <w:t xml:space="preserve">(далее – Департамент) </w:t>
        <w:br/>
        <w:t xml:space="preserve">и Региональный центр финансовой грамотности Томской области (далее – РЦФГ) </w:t>
      </w:r>
      <w:r>
        <w:rPr>
          <w:rFonts w:ascii="PT Astra Serif" w:hAnsi="PT Astra Serif" w:eastAsia="Calibri"/>
          <w:highlight w:val="white"/>
        </w:rPr>
        <w:t xml:space="preserve">от </w:t>
      </w:r>
      <w:r>
        <w:rPr>
          <w:rFonts w:ascii="PT Astra Serif" w:hAnsi="PT Astra Serif" w:eastAsia="Calibri"/>
          <w:highlight w:val="white"/>
        </w:rPr>
        <w:t xml:space="preserve">граждан </w:t>
      </w:r>
      <w:r>
        <w:rPr>
          <w:rFonts w:ascii="PT Astra Serif" w:hAnsi="PT Astra Serif" w:eastAsia="Calibri"/>
          <w:highlight w:val="white"/>
        </w:rPr>
      </w:r>
      <w:r>
        <w:rPr>
          <w:rFonts w:ascii="PT Astra Serif" w:hAnsi="PT Astra Serif" w:eastAsia="Calibri"/>
          <w:highlight w:val="white"/>
        </w:rPr>
        <w:t xml:space="preserve">поступило 452</w:t>
      </w:r>
      <w:r>
        <w:rPr>
          <w:rFonts w:ascii="PT Astra Serif" w:hAnsi="PT Astra Serif" w:eastAsia="Calibri"/>
          <w:highlight w:val="white"/>
        </w:rPr>
        <w:t xml:space="preserve"> обращения </w:t>
      </w:r>
      <w:r>
        <w:rPr>
          <w:rFonts w:ascii="PT Astra Serif" w:hAnsi="PT Astra Serif" w:eastAsia="Calibri"/>
          <w:highlight w:val="white"/>
        </w:rPr>
        <w:t xml:space="preserve"> (далее – обращение), ч</w:t>
      </w:r>
      <w:r>
        <w:rPr>
          <w:rFonts w:ascii="PT Astra Serif" w:hAnsi="PT Astra Serif" w:eastAsia="Calibri"/>
          <w:color w:val="000000" w:themeColor="text1"/>
        </w:rPr>
        <w:t xml:space="preserve">то </w:t>
      </w:r>
      <w:r>
        <w:rPr>
          <w:rFonts w:ascii="PT Astra Serif" w:hAnsi="PT Astra Serif" w:eastAsia="Calibri"/>
          <w:color w:val="000000" w:themeColor="text1"/>
        </w:rPr>
        <w:t xml:space="preserve">на 10</w:t>
      </w:r>
      <w:r>
        <w:rPr>
          <w:rFonts w:ascii="PT Astra Serif" w:hAnsi="PT Astra Serif" w:eastAsia="Calibri"/>
          <w:color w:val="000000" w:themeColor="text1"/>
        </w:rPr>
        <w:t xml:space="preserve"> обращени</w:t>
      </w:r>
      <w:r>
        <w:rPr>
          <w:rFonts w:ascii="PT Astra Serif" w:hAnsi="PT Astra Serif" w:eastAsia="Calibri"/>
          <w:color w:val="000000" w:themeColor="text1"/>
        </w:rPr>
        <w:t xml:space="preserve">й</w:t>
      </w:r>
      <w:r>
        <w:rPr>
          <w:rFonts w:ascii="PT Astra Serif" w:hAnsi="PT Astra Serif" w:eastAsia="Calibri"/>
          <w:color w:val="000000" w:themeColor="text1"/>
        </w:rPr>
        <w:t xml:space="preserve"> </w:t>
      </w:r>
      <w:r>
        <w:rPr>
          <w:rFonts w:ascii="PT Astra Serif" w:hAnsi="PT Astra Serif" w:eastAsia="Calibri"/>
          <w:color w:val="000000" w:themeColor="text1"/>
        </w:rPr>
        <w:t xml:space="preserve">меньше</w:t>
      </w:r>
      <w:r>
        <w:rPr>
          <w:rFonts w:ascii="PT Astra Serif" w:hAnsi="PT Astra Serif" w:eastAsia="Calibri"/>
          <w:color w:val="000000" w:themeColor="text1"/>
        </w:rPr>
        <w:t xml:space="preserve">, </w:t>
      </w:r>
      <w:r>
        <w:rPr>
          <w:rFonts w:ascii="PT Astra Serif" w:hAnsi="PT Astra Serif" w:eastAsia="Calibri"/>
          <w:color w:val="000000" w:themeColor="text1"/>
        </w:rPr>
        <w:t xml:space="preserve">чем </w:t>
      </w:r>
      <w:r>
        <w:rPr>
          <w:rFonts w:ascii="PT Astra Serif" w:hAnsi="PT Astra Serif" w:eastAsia="Calibri"/>
          <w:color w:val="000000" w:themeColor="text1"/>
        </w:rPr>
        <w:t xml:space="preserve">за аналогичный период 2024 года</w:t>
      </w:r>
      <w:r>
        <w:rPr>
          <w:rFonts w:ascii="PT Astra Serif" w:hAnsi="PT Astra Serif" w:eastAsia="Calibri"/>
          <w:color w:val="000000" w:themeColor="text1"/>
        </w:rPr>
        <w:t xml:space="preserve">.</w:t>
      </w:r>
      <w:r>
        <w:rPr>
          <w:rFonts w:ascii="PT Astra Serif" w:hAnsi="PT Astra Serif" w:eastAsia="Calibri"/>
          <w:color w:val="000000" w:themeColor="text1"/>
          <w:highlight w:val="white"/>
        </w:rPr>
        <w:t xml:space="preserve"> 384</w:t>
      </w:r>
      <w:r>
        <w:rPr>
          <w:rFonts w:ascii="PT Astra Serif" w:hAnsi="PT Astra Serif" w:eastAsia="Calibri"/>
          <w:highlight w:val="white"/>
        </w:rPr>
        <w:t xml:space="preserve"> обращения </w:t>
      </w:r>
      <w:r>
        <w:rPr>
          <w:rFonts w:ascii="PT Astra Serif" w:hAnsi="PT Astra Serif" w:eastAsia="Calibri"/>
          <w:highlight w:val="white"/>
        </w:rPr>
        <w:t xml:space="preserve">явля</w:t>
      </w:r>
      <w:r>
        <w:rPr>
          <w:rFonts w:ascii="PT Astra Serif" w:hAnsi="PT Astra Serif" w:eastAsia="Calibri"/>
          <w:highlight w:val="white"/>
        </w:rPr>
        <w:t xml:space="preserve">ю</w:t>
      </w:r>
      <w:r>
        <w:rPr>
          <w:rFonts w:ascii="PT Astra Serif" w:hAnsi="PT Astra Serif" w:eastAsia="Calibri"/>
          <w:highlight w:val="white"/>
        </w:rPr>
        <w:t xml:space="preserve">тся </w:t>
      </w:r>
      <w:r>
        <w:rPr>
          <w:rFonts w:ascii="PT Astra Serif" w:hAnsi="PT Astra Serif" w:eastAsia="Calibri"/>
          <w:highlight w:val="white"/>
        </w:rPr>
        <w:t xml:space="preserve">устн</w:t>
      </w:r>
      <w:r>
        <w:rPr>
          <w:rFonts w:ascii="PT Astra Serif" w:hAnsi="PT Astra Serif" w:eastAsia="Calibri"/>
          <w:highlight w:val="white"/>
        </w:rPr>
        <w:t xml:space="preserve">ыми, 68</w:t>
      </w:r>
      <w:r>
        <w:rPr>
          <w:rFonts w:ascii="PT Astra Serif" w:hAnsi="PT Astra Serif" w:eastAsia="Calibri"/>
          <w:highlight w:val="white"/>
        </w:rPr>
        <w:t xml:space="preserve"> обращений</w:t>
      </w:r>
      <w:r>
        <w:rPr>
          <w:rFonts w:ascii="PT Astra Serif" w:hAnsi="PT Astra Serif" w:eastAsia="Calibri"/>
          <w:highlight w:val="white"/>
        </w:rPr>
        <w:t xml:space="preserve"> - </w:t>
      </w:r>
      <w:r>
        <w:rPr>
          <w:rFonts w:ascii="PT Astra Serif" w:hAnsi="PT Astra Serif" w:eastAsia="Calibri"/>
          <w:highlight w:val="white"/>
        </w:rPr>
        <w:t xml:space="preserve">письменными</w:t>
      </w:r>
      <w:r>
        <w:rPr>
          <w:rFonts w:ascii="PT Astra Serif" w:hAnsi="PT Astra Serif" w:eastAsia="Calibri"/>
          <w:highlight w:val="white"/>
        </w:rPr>
        <w:t xml:space="preserve">.</w:t>
      </w:r>
      <w:r>
        <w:rPr>
          <w:rFonts w:ascii="PT Astra Serif" w:hAnsi="PT Astra Serif" w:eastAsia="Calibri"/>
          <w:highlight w:val="white"/>
        </w:rPr>
      </w:r>
      <w:r>
        <w:rPr>
          <w:rFonts w:ascii="PT Astra Serif" w:hAnsi="PT Astra Serif" w:eastAsia="Calibri"/>
          <w:highlight w:val="white"/>
        </w:rPr>
      </w:r>
    </w:p>
    <w:p>
      <w:pPr>
        <w:pStyle w:val="846"/>
        <w:ind w:firstLine="709"/>
        <w:jc w:val="both"/>
        <w:spacing w:before="0" w:beforeAutospacing="0" w:after="0" w:afterAutospacing="0"/>
        <w:shd w:val="clear" w:color="auto" w:fill="ffffff"/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color w:val="ff0000"/>
          <w:highlight w:val="white"/>
        </w:rPr>
      </w:r>
      <w:r>
        <w:rPr>
          <w:rFonts w:ascii="PT Astra Serif" w:hAnsi="PT Astra Serif" w:eastAsia="Calibri"/>
          <w:highlight w:val="white"/>
        </w:rPr>
        <w:t xml:space="preserve">В Департамент было перенаправлено</w:t>
      </w:r>
      <w:r>
        <w:rPr>
          <w:rFonts w:ascii="PT Astra Serif" w:hAnsi="PT Astra Serif" w:eastAsia="Calibri"/>
          <w:highlight w:val="white"/>
        </w:rPr>
        <w:t xml:space="preserve"> 1 обращение в устной форме из Администрации Томской области, 65 письменных обращений </w:t>
      </w:r>
      <w:r>
        <w:rPr>
          <w:rFonts w:ascii="PT Astra Serif" w:hAnsi="PT Astra Serif" w:eastAsia="Calibri"/>
          <w:highlight w:val="white"/>
        </w:rPr>
        <w:t xml:space="preserve">из Администрации Президента Российской Федерации</w:t>
      </w:r>
      <w:r>
        <w:rPr>
          <w:rFonts w:ascii="PT Astra Serif" w:hAnsi="PT Astra Serif" w:eastAsia="Calibri"/>
          <w:highlight w:val="white"/>
        </w:rPr>
        <w:t xml:space="preserve">, с Прямой линии Президента Российской Федерации, из Администрации Томской области</w:t>
      </w:r>
      <w:r>
        <w:rPr>
          <w:rFonts w:ascii="PT Astra Serif" w:hAnsi="PT Astra Serif" w:eastAsia="Calibri"/>
          <w:highlight w:val="white"/>
        </w:rPr>
        <w:t xml:space="preserve">, с Прямой линии Губернатора Томской области, из Государственной Думы Федерального Собрания Российской Федерации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и</w:t>
      </w:r>
      <w:r>
        <w:rPr>
          <w:rFonts w:ascii="PT Astra Serif" w:hAnsi="PT Astra Serif" w:eastAsia="Calibri"/>
          <w:highlight w:val="white"/>
        </w:rPr>
        <w:t xml:space="preserve"> </w:t>
      </w:r>
      <w:r>
        <w:rPr>
          <w:rFonts w:ascii="PT Astra Serif" w:hAnsi="PT Astra Serif" w:eastAsia="Calibri"/>
          <w:highlight w:val="white"/>
        </w:rPr>
        <w:t xml:space="preserve">3</w:t>
      </w:r>
      <w:r>
        <w:rPr>
          <w:rFonts w:ascii="PT Astra Serif" w:hAnsi="PT Astra Serif" w:eastAsia="Calibri"/>
          <w:highlight w:val="none"/>
        </w:rPr>
        <w:t xml:space="preserve"> обращения поступило непосредственно в Департамент </w:t>
      </w:r>
      <w:r>
        <w:rPr>
          <w:rFonts w:ascii="PT Astra Serif" w:hAnsi="PT Astra Serif" w:eastAsia="Calibri"/>
          <w:highlight w:val="none"/>
        </w:rPr>
        <w:t xml:space="preserve">финансов Томской области.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ind w:left="0" w:right="0" w:firstLine="0"/>
        <w:jc w:val="both"/>
        <w:spacing w:before="0" w:beforeAutospacing="0" w:after="0" w:afterAutospacing="0" w:line="240" w:lineRule="auto"/>
        <w:shd w:val="clear" w:color="auto" w:fill="ffffff"/>
        <w:rPr>
          <w:rFonts w:ascii="PT Astra Serif" w:hAnsi="PT Astra Serif" w:eastAsia="Calibri"/>
        </w:rPr>
      </w:pPr>
      <w:r>
        <w:rPr>
          <w:rFonts w:ascii="PT Astra Serif" w:hAnsi="PT Astra Serif" w:eastAsia="Calibri"/>
          <w:highlight w:val="none"/>
        </w:rPr>
      </w:r>
      <w:r>
        <w:drawing>
          <wp:inline distT="0" distB="0" distL="0" distR="0">
            <wp:extent cx="6480175" cy="2469461"/>
            <wp:effectExtent l="1587" t="1587" r="1587" b="1587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rFonts w:ascii="PT Astra Serif" w:hAnsi="PT Astra Serif" w:eastAsia="Calibri"/>
        </w:rPr>
        <w:t xml:space="preserve">    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40" w:lineRule="auto"/>
        <w:shd w:val="clear" w:color="auto" w:fill="ffffff"/>
        <w:rPr>
          <w:rFonts w:ascii="PT Astra Serif" w:hAnsi="PT Astra Serif" w:eastAsia="Calibri"/>
          <w:highlight w:val="yellow"/>
        </w:rPr>
      </w:pPr>
      <w:r>
        <w:rPr>
          <w:rFonts w:ascii="PT Astra Serif" w:hAnsi="PT Astra Serif" w:eastAsia="Calibri"/>
        </w:rPr>
        <w:t xml:space="preserve">Анализ тематики письменных </w:t>
      </w:r>
      <w:r>
        <w:rPr>
          <w:rFonts w:ascii="PT Astra Serif" w:hAnsi="PT Astra Serif" w:eastAsia="Calibri"/>
        </w:rPr>
        <w:t xml:space="preserve">обращений </w:t>
      </w:r>
      <w:r>
        <w:rPr>
          <w:rFonts w:ascii="PT Astra Serif" w:hAnsi="PT Astra Serif" w:eastAsia="Calibri"/>
        </w:rPr>
        <w:t xml:space="preserve">выявил следующее</w:t>
      </w:r>
      <w:r>
        <w:rPr>
          <w:rFonts w:ascii="PT Astra Serif" w:hAnsi="PT Astra Serif" w:eastAsia="Calibri"/>
        </w:rPr>
        <w:t xml:space="preserve">:</w:t>
      </w:r>
      <w:r>
        <w:rPr>
          <w:rFonts w:ascii="PT Astra Serif" w:hAnsi="PT Astra Serif" w:eastAsia="Calibri"/>
          <w:highlight w:val="yellow"/>
        </w:rPr>
      </w:r>
      <w:r>
        <w:rPr>
          <w:rFonts w:ascii="PT Astra Serif" w:hAnsi="PT Astra Serif" w:eastAsia="Calibri"/>
          <w:highlight w:val="yellow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62,3%</w:t>
      </w:r>
      <w:r>
        <w:rPr>
          <w:rFonts w:ascii="PT Astra Serif" w:hAnsi="PT Astra Serif"/>
          <w:sz w:val="24"/>
          <w:szCs w:val="24"/>
          <w:lang w:eastAsia="ru-RU"/>
        </w:rPr>
        <w:t xml:space="preserve"> составили вопросы, относящиеся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b/>
          <w:sz w:val="24"/>
          <w:szCs w:val="24"/>
          <w:lang w:eastAsia="ru-RU"/>
        </w:rPr>
        <w:t xml:space="preserve">15,9%</w:t>
      </w:r>
      <w:r>
        <w:rPr>
          <w:rFonts w:ascii="PT Astra Serif" w:hAnsi="PT Astra Serif"/>
          <w:sz w:val="24"/>
          <w:szCs w:val="24"/>
          <w:lang w:eastAsia="ru-RU"/>
        </w:rPr>
        <w:t xml:space="preserve"> - финансовые вопросы в сфере страхования, банковских вкладов, инвестиций и др.;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</w:rPr>
      </w:pPr>
      <w:r>
        <w:rPr>
          <w:rFonts w:ascii="PT Astra Serif" w:hAnsi="PT Astra Serif" w:eastAsia="Calibri"/>
          <w:b/>
        </w:rPr>
        <w:t xml:space="preserve">8,7% </w:t>
      </w:r>
      <w:r>
        <w:rPr>
          <w:rFonts w:ascii="PT Astra Serif" w:hAnsi="PT Astra Serif" w:eastAsia="Calibri"/>
        </w:rPr>
        <w:t xml:space="preserve">составили вопросы, касающиеся работы кредит</w:t>
      </w:r>
      <w:r>
        <w:rPr>
          <w:rFonts w:ascii="PT Astra Serif" w:hAnsi="PT Astra Serif" w:eastAsia="Calibri"/>
        </w:rPr>
        <w:t xml:space="preserve">но-потребительских кооперативов;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b/>
          <w:bCs/>
        </w:rPr>
        <w:t xml:space="preserve">7,2%</w:t>
      </w:r>
      <w:r>
        <w:rPr>
          <w:rFonts w:ascii="PT Astra Serif" w:hAnsi="PT Astra Serif" w:eastAsia="Calibri"/>
        </w:rPr>
        <w:t xml:space="preserve"> составили иные вопросы; 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b/>
        </w:rPr>
        <w:t xml:space="preserve">5,8%</w:t>
      </w:r>
      <w:r>
        <w:rPr>
          <w:rFonts w:ascii="PT Astra Serif" w:hAnsi="PT Astra Serif" w:eastAsia="Calibri"/>
        </w:rPr>
        <w:t xml:space="preserve"> </w:t>
      </w:r>
      <w:r>
        <w:rPr>
          <w:rFonts w:ascii="PT Astra Serif" w:hAnsi="PT Astra Serif" w:eastAsia="Calibri"/>
        </w:rPr>
        <w:t xml:space="preserve">обращени</w:t>
      </w:r>
      <w:r>
        <w:rPr>
          <w:rFonts w:ascii="PT Astra Serif" w:hAnsi="PT Astra Serif" w:eastAsia="Calibri"/>
        </w:rPr>
        <w:t xml:space="preserve">й</w:t>
      </w:r>
      <w:r>
        <w:rPr>
          <w:rFonts w:ascii="PT Astra Serif" w:hAnsi="PT Astra Serif" w:eastAsia="Calibri"/>
        </w:rPr>
        <w:t xml:space="preserve"> </w:t>
      </w:r>
      <w:r>
        <w:rPr>
          <w:rFonts w:ascii="PT Astra Serif" w:hAnsi="PT Astra Serif" w:eastAsia="Calibri"/>
        </w:rPr>
        <w:t xml:space="preserve">по финансовым вопросам поступило</w:t>
      </w:r>
      <w:r>
        <w:rPr>
          <w:rFonts w:ascii="PT Astra Serif" w:hAnsi="PT Astra Serif" w:eastAsia="Calibri"/>
        </w:rPr>
        <w:t xml:space="preserve"> от мобилизованных граждан и членов </w:t>
        <w:br/>
        <w:t xml:space="preserve">их семей</w:t>
      </w:r>
      <w:r>
        <w:rPr>
          <w:rFonts w:ascii="PT Astra Serif" w:hAnsi="PT Astra Serif" w:eastAsia="Calibri"/>
        </w:rPr>
        <w:t xml:space="preserve">.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tabs>
          <w:tab w:val="left" w:pos="993" w:leader="none"/>
        </w:tabs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  <w:highlight w:val="none"/>
        </w:rPr>
      </w:r>
      <w:r>
        <w:drawing>
          <wp:inline distT="0" distB="0" distL="0" distR="0">
            <wp:extent cx="6476999" cy="2618905"/>
            <wp:effectExtent l="4762" t="4762" r="4762" b="4762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40" w:lineRule="auto"/>
        <w:shd w:val="clear" w:color="auto" w:fill="ffffff"/>
        <w:tabs>
          <w:tab w:val="left" w:pos="993" w:leader="none"/>
        </w:tabs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Кроме того, проведенный анализ письменных обращений показал, что наибольшее </w:t>
      </w:r>
      <w:r>
        <w:rPr>
          <w:rFonts w:ascii="PT Astra Serif" w:hAnsi="PT Astra Serif"/>
          <w:sz w:val="24"/>
          <w:szCs w:val="24"/>
        </w:rPr>
        <w:t xml:space="preserve">количество </w:t>
      </w:r>
      <w:r>
        <w:rPr>
          <w:rFonts w:ascii="PT Astra Serif" w:hAnsi="PT Astra Serif"/>
          <w:sz w:val="24"/>
          <w:szCs w:val="24"/>
        </w:rPr>
        <w:t xml:space="preserve">вопросов относится к сфере кредитования в части высокой кредитной нагрузки, проблемной задолженности, оформления банкротства и мошеннических действий. 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left="0" w:right="0" w:firstLine="567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Информирование жителей Томской области по наиболее актуальным вопросам осуществляется следующим образом: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42"/>
        <w:ind w:left="0" w:right="0" w:firstLine="709"/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в рамках региональной программы повышения финансовой грамотности населения</w:t>
      </w:r>
      <w:r>
        <w:rPr>
          <w:rFonts w:ascii="PT Astra Serif" w:hAnsi="PT Astra Serif"/>
          <w:sz w:val="24"/>
          <w:szCs w:val="24"/>
        </w:rPr>
        <w:t xml:space="preserve"> материалы по финансовым вопросам</w:t>
      </w:r>
      <w:r>
        <w:rPr>
          <w:rFonts w:ascii="PT Astra Serif" w:hAnsi="PT Astra Serif"/>
          <w:sz w:val="24"/>
          <w:szCs w:val="24"/>
        </w:rPr>
        <w:t xml:space="preserve"> регулярно публикуются в журнале 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 xml:space="preserve">«Ваши личные финансы», на </w:t>
      </w:r>
      <w:r>
        <w:rPr>
          <w:rFonts w:ascii="PT Astra Serif" w:hAnsi="PT Astra Serif"/>
          <w:sz w:val="24"/>
          <w:szCs w:val="24"/>
          <w:lang w:eastAsia="ru-RU"/>
        </w:rPr>
        <w:t xml:space="preserve">портале </w:t>
      </w:r>
      <w:r>
        <w:rPr>
          <w:rFonts w:ascii="PT Astra Serif" w:hAnsi="PT Astra Serif"/>
          <w:sz w:val="24"/>
          <w:szCs w:val="24"/>
        </w:rPr>
        <w:t xml:space="preserve">финансовой грамотности (</w:t>
      </w:r>
      <w:r>
        <w:rPr>
          <w:rFonts w:ascii="PT Astra Serif" w:hAnsi="PT Astra Serif"/>
          <w:sz w:val="24"/>
          <w:szCs w:val="24"/>
          <w:lang w:val="en-US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HYPERLINK</w:instrText>
      </w:r>
      <w:r>
        <w:rPr>
          <w:rFonts w:ascii="PT Astra Serif" w:hAnsi="PT Astra Serif"/>
          <w:sz w:val="24"/>
          <w:szCs w:val="24"/>
        </w:rPr>
        <w:instrText xml:space="preserve"> "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https</w:instrText>
      </w:r>
      <w:r>
        <w:rPr>
          <w:rFonts w:ascii="PT Astra Serif" w:hAnsi="PT Astra Serif"/>
          <w:sz w:val="24"/>
          <w:szCs w:val="24"/>
        </w:rPr>
        <w:instrText xml:space="preserve">://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vlfin</w:instrText>
      </w:r>
      <w:r>
        <w:rPr>
          <w:rFonts w:ascii="PT Astra Serif" w:hAnsi="PT Astra Serif"/>
          <w:sz w:val="24"/>
          <w:szCs w:val="24"/>
        </w:rPr>
        <w:instrText xml:space="preserve">.</w:instrText>
      </w:r>
      <w:r>
        <w:rPr>
          <w:rFonts w:ascii="PT Astra Serif" w:hAnsi="PT Astra Serif"/>
          <w:sz w:val="24"/>
          <w:szCs w:val="24"/>
          <w:lang w:val="en-US"/>
        </w:rPr>
        <w:instrText xml:space="preserve">ru</w:instrText>
      </w:r>
      <w:r>
        <w:rPr>
          <w:rFonts w:ascii="PT Astra Serif" w:hAnsi="PT Astra Serif"/>
          <w:sz w:val="24"/>
          <w:szCs w:val="24"/>
        </w:rPr>
        <w:instrText xml:space="preserve">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  <w:lang w:val="en-US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https</w:t>
      </w:r>
      <w:r>
        <w:rPr>
          <w:rStyle w:val="848"/>
          <w:rFonts w:ascii="PT Astra Serif" w:hAnsi="PT Astra Serif"/>
          <w:sz w:val="24"/>
          <w:szCs w:val="24"/>
        </w:rPr>
        <w:t xml:space="preserve">://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vlfin</w:t>
      </w:r>
      <w:r>
        <w:rPr>
          <w:rStyle w:val="848"/>
          <w:rFonts w:ascii="PT Astra Serif" w:hAnsi="PT Astra Serif"/>
          <w:sz w:val="24"/>
          <w:szCs w:val="24"/>
        </w:rPr>
        <w:t xml:space="preserve">.</w:t>
      </w:r>
      <w:r>
        <w:rPr>
          <w:rStyle w:val="848"/>
          <w:rFonts w:ascii="PT Astra Serif" w:hAnsi="PT Astra Serif"/>
          <w:sz w:val="24"/>
          <w:szCs w:val="24"/>
          <w:lang w:val="en-US"/>
        </w:rPr>
        <w:t xml:space="preserve">ru</w:t>
      </w:r>
      <w:r>
        <w:rPr>
          <w:rStyle w:val="848"/>
          <w:rFonts w:ascii="PT Astra Serif" w:hAnsi="PT Astra Serif"/>
          <w:sz w:val="24"/>
          <w:szCs w:val="24"/>
        </w:rPr>
        <w:t xml:space="preserve">/</w:t>
      </w:r>
      <w:r>
        <w:rPr>
          <w:rFonts w:ascii="PT Astra Serif" w:hAnsi="PT Astra Serif"/>
          <w:sz w:val="24"/>
          <w:szCs w:val="24"/>
          <w:lang w:val="en-US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 и на страницах проекта</w:t>
      </w:r>
      <w:r>
        <w:rPr>
          <w:rFonts w:ascii="PT Astra Serif" w:hAnsi="PT Astra Serif"/>
          <w:sz w:val="24"/>
          <w:szCs w:val="24"/>
        </w:rPr>
        <w:t xml:space="preserve"> </w:t>
        <w:br/>
      </w:r>
      <w:r>
        <w:rPr>
          <w:rFonts w:ascii="PT Astra Serif" w:hAnsi="PT Astra Serif"/>
          <w:sz w:val="24"/>
          <w:szCs w:val="24"/>
        </w:rPr>
        <w:t xml:space="preserve">в социальных сетях Вконтакте, Одноклассники, Телегармм и Яндекс.Дзен</w:t>
      </w:r>
      <w:r>
        <w:rPr>
          <w:rFonts w:ascii="PT Astra Serif" w:hAnsi="PT Astra Serif"/>
          <w:sz w:val="24"/>
          <w:szCs w:val="24"/>
        </w:rPr>
        <w:t xml:space="preserve">;</w:t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>
        <w:rPr>
          <w:rFonts w:ascii="PT Astra Serif" w:hAnsi="PT Astra Serif"/>
          <w:sz w:val="24"/>
          <w:szCs w:val="24"/>
        </w:rPr>
        <w:t xml:space="preserve">по вопросам, касающихся приобретения, продажи и налогообложения ценных бумаг с</w:t>
      </w:r>
      <w:r>
        <w:rPr>
          <w:rFonts w:ascii="PT Astra Serif" w:hAnsi="PT Astra Serif"/>
          <w:sz w:val="24"/>
          <w:szCs w:val="24"/>
        </w:rPr>
        <w:t xml:space="preserve">ведения</w:t>
      </w:r>
      <w:r>
        <w:rPr>
          <w:rFonts w:ascii="PT Astra Serif" w:hAnsi="PT Astra Serif"/>
          <w:sz w:val="24"/>
          <w:szCs w:val="24"/>
        </w:rPr>
        <w:t xml:space="preserve"> по региональным ценным бумагам </w:t>
      </w:r>
      <w:r>
        <w:rPr>
          <w:rFonts w:ascii="PT Astra Serif" w:hAnsi="PT Astra Serif"/>
          <w:sz w:val="24"/>
          <w:szCs w:val="24"/>
        </w:rPr>
        <w:t xml:space="preserve">размещаю</w:t>
      </w:r>
      <w:r>
        <w:rPr>
          <w:rFonts w:ascii="PT Astra Serif" w:hAnsi="PT Astra Serif"/>
          <w:sz w:val="24"/>
          <w:szCs w:val="24"/>
        </w:rPr>
        <w:t xml:space="preserve">тся на официальном сайте Департамента финансов Томской области (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</w:instrText>
      </w:r>
      <w:r>
        <w:rPr>
          <w:rFonts w:ascii="PT Astra Serif" w:hAnsi="PT Astra Serif"/>
          <w:sz w:val="24"/>
          <w:szCs w:val="24"/>
        </w:rPr>
        <w:instrText xml:space="preserve">https://depfin.tomsk.gov.ru/</w:instrText>
      </w:r>
      <w:r>
        <w:rPr>
          <w:rFonts w:ascii="PT Astra Serif" w:hAnsi="PT Astra Serif"/>
          <w:sz w:val="24"/>
          <w:szCs w:val="24"/>
        </w:rPr>
        <w:instrText xml:space="preserve">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48"/>
          <w:rFonts w:ascii="PT Astra Serif" w:hAnsi="PT Astra Serif"/>
          <w:sz w:val="24"/>
          <w:szCs w:val="24"/>
        </w:rPr>
        <w:t xml:space="preserve">https://depfin.tomsk.gov.ru/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)</w:t>
      </w:r>
      <w:r>
        <w:rPr>
          <w:rFonts w:ascii="PT Astra Serif" w:hAnsi="PT Astra Serif"/>
          <w:sz w:val="24"/>
          <w:szCs w:val="24"/>
        </w:rPr>
        <w:t xml:space="preserve"> в разделе «Деятельность», подразделе «Государственный долг</w:t>
      </w:r>
      <w:r>
        <w:rPr>
          <w:rFonts w:ascii="PT Astra Serif" w:hAnsi="PT Astra Serif"/>
          <w:sz w:val="24"/>
          <w:szCs w:val="24"/>
        </w:rPr>
        <w:t xml:space="preserve">»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none"/>
          <w:lang w:eastAsia="ru-RU"/>
        </w:rPr>
        <w:t xml:space="preserve">В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целях оказания бесплатной консультационной помощи жителям региона, попавшим </w:t>
        <w:br/>
        <w:t xml:space="preserve">в сложную финансовую ситуацию, в рамках проекта «Ваши личные финансы»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 базе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Регионального центра финансовой грамотности (РЦФГ)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функционирует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«Ант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икризисный центр».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ind w:left="0" w:righ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2025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году специал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истами центра было проведено 383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консультации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  <w:br/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гражданами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в том числе посредством «горячей линии»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.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Наиболее часто задаваемые вопросы связаны: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с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банкротством граждан во внесудебном порядке через МФЦ, оформлением заявления и необходимыми документами, сроками процедуры, отражением сведений на ЕФРСБ </w:t>
        <w:br/>
        <w:t xml:space="preserve">и применением последствий (42 % обращений);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банкротством граждан в судебном порядке, реструктуризацией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долгов, реализацией имущества, взаимодействием с финансовым управляющим должника и отражением сведений </w:t>
        <w:br/>
        <w:t xml:space="preserve">в картотеке арбитражных дел (10%);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наследством, имущественными спорами и взысканием задолженности с наследников (9%);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мошенническими действиями, порядком обращения граждан в правоохранительные органы, оспариванием сделок с Банками (8%);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исполнительным производством, взысканием задолженности по кредитным, коммунальным платежам, отражением сведений в Базе данных исполнительных производств (12%);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лжеюридическими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 услугами (7%);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отменой судебных приказов, обжалованием судебных актов (4%);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682"/>
        <w:numPr>
          <w:ilvl w:val="0"/>
          <w:numId w:val="5"/>
        </w:numPr>
        <w:ind w:left="0" w:firstLine="709"/>
        <w:jc w:val="both"/>
        <w:spacing w:after="0"/>
        <w:shd w:val="clear" w:color="auto" w:fill="ffffff" w:themeFill="background1"/>
        <w:tabs>
          <w:tab w:val="left" w:pos="1134" w:leader="none"/>
        </w:tabs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pP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с оказанием финансовых услуг потребителю (8%).</w:t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  <w14:ligatures w14:val="none"/>
        </w:rPr>
      </w:r>
    </w:p>
    <w:p>
      <w:pPr>
        <w:pStyle w:val="842"/>
        <w:ind w:firstLine="709"/>
        <w:jc w:val="both"/>
        <w:spacing w:after="0"/>
        <w:rPr>
          <w:rFonts w:ascii="PT Astra Serif" w:hAnsi="PT Astra Serif"/>
          <w:color w:val="ff0000"/>
          <w:sz w:val="24"/>
          <w:szCs w:val="26"/>
          <w:highlight w:val="white"/>
        </w:rPr>
      </w:pPr>
      <w:r>
        <w:rPr>
          <w:rFonts w:ascii="PT Astra Serif" w:hAnsi="PT Astra Serif"/>
          <w:color w:val="ff0000"/>
          <w:sz w:val="24"/>
          <w:szCs w:val="26"/>
          <w:highlight w:val="white"/>
          <w:lang w:eastAsia="ru-RU"/>
        </w:rPr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Обратиться за консультацией можно любым удобным способом: по адресу г. Томск, </w:t>
        <w:br/>
        <w:t xml:space="preserve">ул. Гоголя, д. 15, оф. 401,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  <w:t xml:space="preserve">по телефону «горячей линии»8-800-201-67-70, через портал финансовой грамотности </w:t>
      </w:r>
      <w:r>
        <w:rPr>
          <w:rFonts w:ascii="PT Astra Serif" w:hAnsi="PT Astra Serif"/>
          <w:sz w:val="24"/>
          <w:szCs w:val="24"/>
          <w:highlight w:val="white"/>
          <w:lang w:eastAsia="ru-RU"/>
        </w:rPr>
      </w:r>
      <w:hyperlink r:id="rId11" w:tooltip="https://vlfin.ru/feedback." w:history="1">
        <w:r>
          <w:rPr>
            <w:rFonts w:ascii="PT Astra Serif" w:hAnsi="PT Astra Serif"/>
            <w:sz w:val="24"/>
            <w:szCs w:val="24"/>
            <w:highlight w:val="white"/>
            <w:lang w:eastAsia="ru-RU"/>
          </w:rPr>
          <w:t xml:space="preserve">https://vlfin.ru/feedback.</w:t>
        </w:r>
      </w:hyperlink>
      <w:r>
        <w:rPr>
          <w:rFonts w:ascii="PT Astra Serif" w:hAnsi="PT Astra Serif"/>
          <w:color w:val="ff0000"/>
          <w:sz w:val="24"/>
          <w:szCs w:val="26"/>
          <w:highlight w:val="white"/>
        </w:rPr>
      </w:r>
      <w:r>
        <w:rPr>
          <w:rFonts w:ascii="PT Astra Serif" w:hAnsi="PT Astra Serif"/>
          <w:color w:val="ff0000"/>
          <w:sz w:val="24"/>
          <w:szCs w:val="26"/>
          <w:highlight w:val="white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color w:val="ff0000"/>
          <w:sz w:val="24"/>
          <w:szCs w:val="28"/>
        </w:rPr>
      </w:pP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  <w:r>
        <w:rPr>
          <w:rFonts w:ascii="Times New Roman" w:hAnsi="Times New Roman"/>
          <w:color w:val="ff0000"/>
          <w:sz w:val="24"/>
          <w:szCs w:val="28"/>
        </w:rPr>
      </w:r>
    </w:p>
    <w:p>
      <w:pPr>
        <w:pStyle w:val="842"/>
        <w:jc w:val="both"/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  <w:r>
        <w:rPr>
          <w:rFonts w:ascii="Times New Roman" w:hAnsi="Times New Roman"/>
          <w:sz w:val="24"/>
          <w:szCs w:val="28"/>
        </w:rPr>
      </w:r>
    </w:p>
    <w:p>
      <w:pPr>
        <w:jc w:val="both"/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6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  <w:r>
        <w:rPr>
          <w:rFonts w:ascii="PT Astra Serif" w:hAnsi="PT Astra Serif"/>
          <w:sz w:val="24"/>
          <w:szCs w:val="24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sz w:val="24"/>
          <w:szCs w:val="24"/>
          <w:highlight w:val="none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  <w:t xml:space="preserve">Председатель комитета государственного долга</w:t>
        <w:tab/>
        <w:tab/>
        <w:tab/>
      </w:r>
      <w:r>
        <w:rPr>
          <w:rFonts w:ascii="PT Astra Serif" w:hAnsi="PT Astra Serif"/>
          <w:sz w:val="24"/>
          <w:szCs w:val="26"/>
          <w:lang w:eastAsia="ru-RU"/>
        </w:rPr>
        <w:tab/>
      </w:r>
      <w:r>
        <w:rPr>
          <w:rFonts w:ascii="PT Astra Serif" w:hAnsi="PT Astra Serif"/>
          <w:sz w:val="24"/>
          <w:szCs w:val="26"/>
          <w:lang w:eastAsia="ru-RU"/>
        </w:rPr>
        <w:t xml:space="preserve">        </w:t>
      </w:r>
      <w:r>
        <w:rPr>
          <w:rFonts w:ascii="PT Astra Serif" w:hAnsi="PT Astra Serif"/>
          <w:sz w:val="24"/>
          <w:szCs w:val="26"/>
          <w:lang w:eastAsia="ru-RU"/>
        </w:rPr>
        <w:t xml:space="preserve">                </w:t>
      </w:r>
      <w:r>
        <w:rPr>
          <w:rFonts w:ascii="PT Astra Serif" w:hAnsi="PT Astra Serif"/>
          <w:sz w:val="24"/>
          <w:szCs w:val="26"/>
          <w:lang w:eastAsia="ru-RU"/>
        </w:rPr>
        <w:t xml:space="preserve">О.В. Болтовская</w:t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  <w:r>
        <w:rPr>
          <w:rFonts w:ascii="PT Astra Serif" w:hAnsi="PT Astra Serif"/>
          <w:sz w:val="24"/>
          <w:szCs w:val="24"/>
          <w:highlight w:val="none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4"/>
          <w:szCs w:val="26"/>
          <w:lang w:eastAsia="ru-RU"/>
        </w:rPr>
      </w:pP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  <w:r>
        <w:rPr>
          <w:rFonts w:ascii="PT Astra Serif" w:hAnsi="PT Astra Serif"/>
          <w:sz w:val="24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842"/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p>
      <w:pPr>
        <w:pStyle w:val="842"/>
        <w:jc w:val="both"/>
        <w:spacing w:after="0" w:line="240" w:lineRule="auto"/>
        <w:rPr>
          <w:rFonts w:ascii="PT Astra Serif" w:hAnsi="PT Astra Serif"/>
          <w:highlight w:val="none"/>
          <w:lang w:eastAsia="ru-RU"/>
        </w:rPr>
      </w:pPr>
      <w:r>
        <w:rPr>
          <w:rFonts w:ascii="PT Astra Serif" w:hAnsi="PT Astra Serif"/>
          <w:lang w:eastAsia="ru-RU"/>
        </w:rPr>
        <w:t xml:space="preserve">исп.</w:t>
      </w:r>
      <w:r>
        <w:rPr>
          <w:rFonts w:ascii="PT Astra Serif" w:hAnsi="PT Astra Serif"/>
          <w:lang w:eastAsia="ru-RU"/>
        </w:rPr>
        <w:t xml:space="preserve"> </w:t>
      </w:r>
      <w:r>
        <w:rPr>
          <w:rFonts w:ascii="PT Astra Serif" w:hAnsi="PT Astra Serif"/>
          <w:lang w:eastAsia="ru-RU"/>
        </w:rPr>
        <w:t xml:space="preserve">Балкина О.В</w:t>
      </w:r>
      <w:r>
        <w:rPr>
          <w:rFonts w:ascii="PT Astra Serif" w:hAnsi="PT Astra Serif"/>
          <w:lang w:eastAsia="ru-RU"/>
        </w:rPr>
        <w:t xml:space="preserve">.</w:t>
      </w:r>
      <w:r>
        <w:rPr>
          <w:rFonts w:ascii="PT Astra Serif" w:hAnsi="PT Astra Serif"/>
          <w:lang w:eastAsia="ru-RU"/>
        </w:rPr>
        <w:t xml:space="preserve">, </w:t>
      </w:r>
      <w:r>
        <w:rPr>
          <w:rFonts w:ascii="PT Astra Serif" w:hAnsi="PT Astra Serif"/>
          <w:lang w:eastAsia="ru-RU"/>
        </w:rPr>
        <w:t xml:space="preserve">тел. (3822) 712-3</w:t>
      </w:r>
      <w:r>
        <w:rPr>
          <w:rFonts w:ascii="PT Astra Serif" w:hAnsi="PT Astra Serif"/>
          <w:lang w:eastAsia="ru-RU"/>
        </w:rPr>
        <w:t xml:space="preserve">74</w:t>
      </w:r>
      <w:r>
        <w:rPr>
          <w:rFonts w:ascii="PT Astra Serif" w:hAnsi="PT Astra Serif"/>
          <w:highlight w:val="none"/>
          <w:lang w:eastAsia="ru-RU"/>
        </w:rPr>
      </w:r>
      <w:r>
        <w:rPr>
          <w:rFonts w:ascii="PT Astra Serif" w:hAnsi="PT Astra Serif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567" w:bottom="39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8" w:hanging="360"/>
        <w:tabs>
          <w:tab w:val="num" w:pos="92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667" w:hanging="360"/>
        <w:tabs>
          <w:tab w:val="num" w:pos="2667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387" w:hanging="360"/>
        <w:tabs>
          <w:tab w:val="num" w:pos="3387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107" w:hanging="360"/>
        <w:tabs>
          <w:tab w:val="num" w:pos="4107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27" w:hanging="360"/>
        <w:tabs>
          <w:tab w:val="num" w:pos="4827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547" w:hanging="360"/>
        <w:tabs>
          <w:tab w:val="num" w:pos="5547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267" w:hanging="360"/>
        <w:tabs>
          <w:tab w:val="num" w:pos="6267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87" w:hanging="360"/>
        <w:tabs>
          <w:tab w:val="num" w:pos="6987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707" w:hanging="360"/>
        <w:tabs>
          <w:tab w:val="num" w:pos="7707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space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2"/>
    <w:next w:val="84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2"/>
    <w:next w:val="84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2"/>
    <w:next w:val="84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List Paragraph"/>
    <w:basedOn w:val="842"/>
    <w:uiPriority w:val="34"/>
    <w:qFormat/>
    <w:pPr>
      <w:contextualSpacing/>
      <w:ind w:left="720"/>
    </w:p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link w:val="692"/>
    <w:uiPriority w:val="99"/>
  </w:style>
  <w:style w:type="paragraph" w:styleId="694">
    <w:name w:val="Footer"/>
    <w:basedOn w:val="842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link w:val="694"/>
    <w:uiPriority w:val="99"/>
  </w:style>
  <w:style w:type="paragraph" w:styleId="696">
    <w:name w:val="Caption"/>
    <w:basedOn w:val="842"/>
    <w:next w:val="842"/>
    <w:link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next w:val="842"/>
    <w:link w:val="842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43">
    <w:name w:val="Основной шрифт абзаца"/>
    <w:next w:val="843"/>
    <w:link w:val="842"/>
    <w:uiPriority w:val="1"/>
    <w:unhideWhenUsed/>
  </w:style>
  <w:style w:type="table" w:styleId="844">
    <w:name w:val="Обычная таблица"/>
    <w:next w:val="844"/>
    <w:link w:val="842"/>
    <w:uiPriority w:val="99"/>
    <w:semiHidden/>
    <w:unhideWhenUsed/>
    <w:qFormat/>
    <w:tblPr/>
  </w:style>
  <w:style w:type="numbering" w:styleId="845">
    <w:name w:val="Нет списка"/>
    <w:next w:val="845"/>
    <w:link w:val="842"/>
    <w:uiPriority w:val="99"/>
    <w:semiHidden/>
    <w:unhideWhenUsed/>
  </w:style>
  <w:style w:type="paragraph" w:styleId="846">
    <w:name w:val="Обычный (веб)"/>
    <w:basedOn w:val="842"/>
    <w:next w:val="846"/>
    <w:link w:val="84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7">
    <w:name w:val="Строгий"/>
    <w:basedOn w:val="843"/>
    <w:next w:val="847"/>
    <w:link w:val="842"/>
    <w:uiPriority w:val="22"/>
    <w:qFormat/>
    <w:rPr>
      <w:b/>
      <w:bCs/>
    </w:rPr>
  </w:style>
  <w:style w:type="character" w:styleId="848">
    <w:name w:val="Гиперссылка"/>
    <w:basedOn w:val="843"/>
    <w:next w:val="848"/>
    <w:link w:val="842"/>
    <w:uiPriority w:val="99"/>
    <w:rPr>
      <w:rFonts w:cs="Times New Roman"/>
      <w:color w:val="0000ff"/>
      <w:u w:val="single"/>
    </w:rPr>
  </w:style>
  <w:style w:type="character" w:styleId="849">
    <w:name w:val="Знак примечания"/>
    <w:basedOn w:val="843"/>
    <w:next w:val="849"/>
    <w:link w:val="842"/>
    <w:uiPriority w:val="99"/>
    <w:semiHidden/>
    <w:unhideWhenUsed/>
    <w:rPr>
      <w:sz w:val="16"/>
      <w:szCs w:val="16"/>
    </w:rPr>
  </w:style>
  <w:style w:type="paragraph" w:styleId="850">
    <w:name w:val="Текст примечания"/>
    <w:basedOn w:val="842"/>
    <w:next w:val="850"/>
    <w:link w:val="851"/>
    <w:uiPriority w:val="99"/>
    <w:semiHidden/>
    <w:unhideWhenUsed/>
    <w:rPr>
      <w:sz w:val="20"/>
      <w:szCs w:val="20"/>
    </w:rPr>
  </w:style>
  <w:style w:type="character" w:styleId="851">
    <w:name w:val="Текст примечания Знак"/>
    <w:basedOn w:val="843"/>
    <w:next w:val="851"/>
    <w:link w:val="850"/>
    <w:uiPriority w:val="99"/>
    <w:semiHidden/>
    <w:rPr>
      <w:lang w:eastAsia="en-US"/>
    </w:rPr>
  </w:style>
  <w:style w:type="paragraph" w:styleId="852">
    <w:name w:val="Тема примечания"/>
    <w:basedOn w:val="850"/>
    <w:next w:val="850"/>
    <w:link w:val="853"/>
    <w:uiPriority w:val="99"/>
    <w:semiHidden/>
    <w:unhideWhenUsed/>
    <w:rPr>
      <w:b/>
      <w:bCs/>
    </w:rPr>
  </w:style>
  <w:style w:type="character" w:styleId="853">
    <w:name w:val="Тема примечания Знак"/>
    <w:basedOn w:val="851"/>
    <w:next w:val="853"/>
    <w:link w:val="852"/>
    <w:uiPriority w:val="99"/>
    <w:semiHidden/>
    <w:rPr>
      <w:b/>
      <w:bCs/>
    </w:rPr>
  </w:style>
  <w:style w:type="paragraph" w:styleId="854">
    <w:name w:val="Текст выноски"/>
    <w:basedOn w:val="842"/>
    <w:next w:val="854"/>
    <w:link w:val="85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5">
    <w:name w:val="Текст выноски Знак"/>
    <w:basedOn w:val="843"/>
    <w:next w:val="855"/>
    <w:link w:val="854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856" w:default="1">
    <w:name w:val="Default Paragraph Font"/>
    <w:uiPriority w:val="1"/>
    <w:semiHidden/>
    <w:unhideWhenUsed/>
  </w:style>
  <w:style w:type="numbering" w:styleId="857" w:default="1">
    <w:name w:val="No List"/>
    <w:uiPriority w:val="99"/>
    <w:semiHidden/>
    <w:unhideWhenUsed/>
  </w:style>
  <w:style w:type="table" w:styleId="85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hart" Target="charts/chart1.xml" /><Relationship Id="rId10" Type="http://schemas.openxmlformats.org/officeDocument/2006/relationships/chart" Target="charts/chart2.xml" /><Relationship Id="rId11" Type="http://schemas.openxmlformats.org/officeDocument/2006/relationships/hyperlink" Target="https://vlfin.ru/feedback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_rels/chart2.xml.rels><?xml version="1.0" encoding="UTF-8" standalone="yes"?><Relationships xmlns="http://schemas.openxmlformats.org/package/2006/relationships"><Relationship Id="rId1" Type="http://schemas.microsoft.com/office/2011/relationships/chartStyle" Target="style1.xml" /><Relationship Id="rId2" Type="http://schemas.microsoft.com/office/2011/relationships/chartColorStyle" Target="colors1.xml" /><Relationship Id="rId3" Type="http://schemas.openxmlformats.org/officeDocument/2006/relationships/package" Target="../embeddings/Microsoft_Excel_Worksheet2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33360"/>
          <c:y val="0.168700"/>
          <c:w val="0.258150"/>
          <c:h val="0.631180"/>
        </c:manualLayout>
      </c:layout>
      <c:pieChart>
        <c:varyColors val="1"/>
        <c:ser>
          <c:idx val="0"/>
          <c:order val="0"/>
          <c:spPr bwMode="auto">
            <a:prstGeom prst="rect">
              <a:avLst/>
            </a:prstGeom>
            <a:gradFill rotWithShape="0">
              <a:gsLst>
                <a:gs pos="0">
                  <a:srgbClr val="2C5D98"/>
                </a:gs>
                <a:gs pos="80000">
                  <a:srgbClr val="3C7BC7"/>
                </a:gs>
                <a:gs pos="100000">
                  <a:srgbClr val="3A7CCB"/>
                </a:gs>
              </a:gsLst>
              <a:lin ang="0" scaled="1"/>
            </a:gradFill>
            <a:ln w="3175">
              <a:noFill/>
            </a:ln>
          </c:spPr>
          <c:explosion val="7"/>
          <c:dPt>
            <c:idx val="0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2C5D98"/>
                  </a:gs>
                  <a:gs pos="80000">
                    <a:srgbClr val="3C7BC7"/>
                  </a:gs>
                  <a:gs pos="100000">
                    <a:srgbClr val="3A7CCB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1"/>
            <c:bubble3D val="0"/>
            <c:explosion val="9"/>
            <c:spPr bwMode="auto">
              <a:prstGeom prst="rect">
                <a:avLst/>
              </a:prstGeom>
              <a:gradFill rotWithShape="0">
                <a:gsLst>
                  <a:gs pos="0">
                    <a:srgbClr val="9B2D2A"/>
                  </a:gs>
                  <a:gs pos="80000">
                    <a:srgbClr val="CB3D3A"/>
                  </a:gs>
                  <a:gs pos="100000">
                    <a:srgbClr val="CE3B37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2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769535"/>
                  </a:gs>
                  <a:gs pos="80000">
                    <a:srgbClr val="9BC348"/>
                  </a:gs>
                  <a:gs pos="100000">
                    <a:srgbClr val="9CC74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3"/>
            <c:bubble3D val="0"/>
            <c:spPr bwMode="auto">
              <a:prstGeom prst="rect">
                <a:avLst/>
              </a:prstGeom>
              <a:gradFill rotWithShape="0">
                <a:gsLst>
                  <a:gs pos="0">
                    <a:srgbClr val="5D417E"/>
                  </a:gs>
                  <a:gs pos="80000">
                    <a:srgbClr val="7B58A6"/>
                  </a:gs>
                  <a:gs pos="100000">
                    <a:srgbClr val="7B57A8"/>
                  </a:gs>
                </a:gsLst>
                <a:lin ang="0" scaled="1"/>
              </a:gradFill>
              <a:ln w="6349">
                <a:solidFill>
                  <a:schemeClr val="accent1">
                    <a:lumMod val="50000"/>
                  </a:schemeClr>
                </a:solidFill>
                <a:prstDash val="solid"/>
              </a:ln>
            </c:spPr>
          </c:dPt>
          <c:dPt>
            <c:idx val="4"/>
            <c:bubble3D val="0"/>
            <c:explosion val="8"/>
            <c:spPr bwMode="auto">
              <a:prstGeom prst="rect">
                <a:avLst/>
              </a:prstGeom>
              <a:gradFill rotWithShape="0">
                <a:gsLst>
                  <a:gs pos="0">
                    <a:srgbClr val="2787A0"/>
                  </a:gs>
                  <a:gs pos="80000">
                    <a:srgbClr val="36B1D2"/>
                  </a:gs>
                  <a:gs pos="100000">
                    <a:srgbClr val="34B3D6"/>
                  </a:gs>
                </a:gsLst>
                <a:lin ang="0" scaled="1"/>
              </a:gradFill>
              <a:ln w="3175">
                <a:noFill/>
              </a:ln>
            </c:spPr>
          </c:dPt>
          <c:dPt>
            <c:idx val="5"/>
            <c:bubble3D val="0"/>
            <c:explosion val="8"/>
          </c:dPt>
          <c:dLbls>
            <c:dLbl>
              <c:idx val="1"/>
              <c:dLblPos val="outEnd"/>
              <c:layout>
                <c:manualLayout>
                  <c:x val="0.001740"/>
                  <c:y val="0.00078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15 обращений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2"/>
              <c:dLblPos val="outEnd"/>
              <c:layout>
                <c:manualLayout>
                  <c:x val="0.002060"/>
                  <c:y val="0.00808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11 обращений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3"/>
              <c:dLblPos val="outEnd"/>
              <c:layout>
                <c:manualLayout>
                  <c:x val="-0.005870"/>
                  <c:y val="0.01517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383 обращения</a:t>
                    </a:r>
                    <a:endParaRPr sz="1000">
                      <a:latin typeface="PT Astra Serif"/>
                      <a:cs typeface="PT Astra Serif"/>
                    </a:endParaRPr>
                  </a:p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4"/>
              <c:dLblPos val="outEnd"/>
              <c:layout>
                <c:manualLayout>
                  <c:x val="0.183010"/>
                  <c:y val="0.05397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 w="3175">
                  <a:noFill/>
                </a:ln>
              </c:spPr>
              <c:tx>
                <c:rich>
                  <a:bodyPr rot="0" vert="horz"/>
                  <a:lstStyle/>
                  <a:p>
                    <a:pPr>
                      <a:defRPr sz="1000" b="0" i="0">
                        <a:solidFill>
                          <a:srgbClr val="000000"/>
                        </a:solidFill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lang="ru-RU" sz="1000">
                        <a:latin typeface="PT Astra Serif"/>
                        <a:ea typeface="PT Astra Serif"/>
                        <a:cs typeface="PT Astra Serif"/>
                      </a:rPr>
                      <a:t>38 бращений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  <c:extLst>
                <c:ext uri="{CE6537A1-D6FC-4f65-9D91-7224C49458BB}">
                  <c15:showDataLabelsRange val="0"/>
                </c:ext>
              </c:extLst>
            </c:dLbl>
            <c:dLbl>
              <c:idx val="0"/>
              <c:dLblPos val="outEnd"/>
              <c:delete val="0"/>
              <c:layout>
                <c:manualLayout>
                  <c:x val="-0.045200"/>
                  <c:y val="-0.01529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sz="1000">
                        <a:latin typeface="PT Astra Serif"/>
                        <a:ea typeface="PT Astra Serif"/>
                        <a:cs typeface="PT Astra Serif"/>
                      </a:rPr>
                      <a:t>1 обращение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>
              <c:idx val="5"/>
              <c:dLblPos val="outEnd"/>
              <c:delete val="0"/>
              <c:layout>
                <c:manualLayout>
                  <c:x val="0.058810"/>
                  <c:y val="-0.06044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/>
                      <a:t>1 обращение</a:t>
                    </a:r>
                    <a:endParaRPr/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>
              <c:idx val="6"/>
              <c:dLblPos val="outEnd"/>
              <c:layout>
                <c:manualLayout>
                  <c:x val="-0.004150"/>
                  <c:y val="-0.002410"/>
                </c:manualLayout>
              </c:layout>
              <c:separator xml:space="preserve"> </c:separator>
              <c:showBubbleSize val="0"/>
              <c:showCatName val="1"/>
              <c:showLegendKey val="0"/>
              <c:showPercent val="0"/>
              <c:showSerName val="1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1000">
                        <a:latin typeface="PT Astra Serif"/>
                        <a:ea typeface="PT Astra Serif"/>
                        <a:cs typeface="PT Astra Serif"/>
                      </a:defRPr>
                    </a:pPr>
                    <a:r>
                      <a:rPr sz="1000">
                        <a:latin typeface="PT Astra Serif"/>
                        <a:ea typeface="PT Astra Serif"/>
                        <a:cs typeface="PT Astra Serif"/>
                      </a:rPr>
                      <a:t>3 обращения</a:t>
                    </a:r>
                    <a:endParaRPr sz="1000">
                      <a:latin typeface="PT Astra Serif"/>
                      <a:cs typeface="PT Astra Serif"/>
                    </a:endParaRPr>
                  </a:p>
                </c:rich>
              </c:tx>
              <c:txPr>
                <a:bodyPr/>
                <a:lstStyle/>
                <a:p>
                  <a:pPr>
                    <a:defRPr sz="1000">
                      <a:latin typeface="PT Astra Serif"/>
                      <a:ea typeface="PT Astra Serif"/>
                      <a:cs typeface="PT Astra Serif"/>
                    </a:defRPr>
                  </a:pPr>
                  <a:endParaRPr lang="ru-RU"/>
                </a:p>
              </c:txPr>
            </c:dLbl>
            <c:dLblPos val="outEnd"/>
            <c:separator xml:space="preserve"> </c:separator>
            <c:showBubbleSize val="0"/>
            <c:showCatName val="1"/>
            <c:showLeaderLines val="1"/>
            <c:showLegendKey val="0"/>
            <c:showPercent val="0"/>
            <c:showSerName val="1"/>
            <c:showVal val="1"/>
            <c:spPr bwMode="auto">
              <a:prstGeom prst="rect">
                <a:avLst/>
              </a:prstGeom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>
                    <a:latin typeface="PT Astra Serif"/>
                    <a:ea typeface="PT Astra Serif"/>
                    <a:cs typeface="PT Astra Serif"/>
                  </a:defRPr>
                </a:pPr>
                <a:endParaRPr lang="ru-RU"/>
              </a:p>
            </c:txPr>
          </c:dLbls>
          <c:cat>
            <c:strRef>
              <c:f>Лист1!$W$5:$W$11</c:f>
              <c:strCache>
                <c:ptCount val="7"/>
                <c:pt idx="0">
                  <c:v xml:space="preserve">перенаправлено в рамках Прямой линии Президента РФ</c:v>
                </c:pt>
                <c:pt idx="1">
                  <c:v xml:space="preserve">перенаправлено из Администрации Президента РФ</c:v>
                </c:pt>
                <c:pt idx="2">
                  <c:v xml:space="preserve">перенаправлено из Администрации Томской области</c:v>
                </c:pt>
                <c:pt idx="3">
                  <c:v xml:space="preserve">поступило в РЦФГ</c:v>
                </c:pt>
                <c:pt idx="4">
                  <c:v xml:space="preserve">сайт Департамента финансов Томской области</c:v>
                </c:pt>
                <c:pt idx="5">
                  <c:v xml:space="preserve">перенаправлено в рамках Прямой линии Губернатора Томской области</c:v>
                </c:pt>
                <c:pt idx="6">
                  <c:v xml:space="preserve">перенаправлено из Государственной Думы Федерального Собрания Российской Федерации</c:v>
                </c:pt>
              </c:strCache>
            </c:strRef>
          </c:cat>
          <c:val>
            <c:numRef>
              <c:f>Лист1!$AA$5:$AA$11</c:f>
              <c:numCache>
                <c:formatCode>General</c:formatCode>
                <c:ptCount val="7"/>
                <c:pt idx="0">
                  <c:v>38</c:v>
                </c:pt>
                <c:pt idx="1">
                  <c:v>14</c:v>
                </c:pt>
                <c:pt idx="2">
                  <c:v>8</c:v>
                </c:pt>
                <c:pt idx="3">
                  <c:v>274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1"/>
          <c:showLeaderLines val="1"/>
          <c:showLegendKey val="0"/>
          <c:showPercent val="0"/>
          <c:showSerName val="1"/>
          <c:showVal val="1"/>
        </c:dLbls>
        <c:firstSliceAng val="0"/>
      </c:pieChart>
    </c:plotArea>
    <c:legend>
      <c:legendPos val="l"/>
      <c:layout>
        <c:manualLayout>
          <c:xMode val="edge"/>
          <c:yMode val="edge"/>
          <c:x val="0.393490"/>
          <c:y val="0.071210"/>
          <c:w val="0.606500"/>
          <c:h val="0.844700"/>
        </c:manualLayout>
      </c:layout>
      <c:overlay val="0"/>
      <c:txPr>
        <a:bodyPr/>
        <a:p>
          <a:pPr>
            <a:defRPr>
              <a:latin typeface="PT Astra Serif"/>
              <a:ea typeface="PT Astra Serif"/>
              <a:cs typeface="PT Astra Serif"/>
            </a:defRPr>
          </a:pPr>
          <a:endParaRPr/>
        </a:p>
      </c:txPr>
    </c:legend>
    <c:plotVisOnly val="1"/>
    <c:dispBlanksAs val="zero"/>
    <c:showDLblsOverMax val="0"/>
  </c:chart>
  <c:spPr bwMode="auto">
    <a:xfrm>
      <a:off x="0" y="0"/>
      <a:ext cx="6480174" cy="2469461"/>
    </a:xfrm>
    <a:prstGeom prst="rect">
      <a:avLst/>
    </a:prstGeom>
    <a:noFill/>
    <a:ln w="3175" cap="flat" cmpd="sng" algn="ctr">
      <a:noFill/>
      <a:prstDash val="solid"/>
    </a:ln>
  </c:spPr>
  <c:txPr>
    <a:bodyPr rot="0" vert="horz"/>
    <a:lstStyle/>
    <a:p>
      <a:pPr>
        <a:defRPr sz="1000" b="0" i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5="http://schemas.microsoft.com/office/drawing/2012/chart" xmlns:c14="http://schemas.microsoft.com/office/drawing/2007/8/2/chart" xmlns:c16r2="http://schemas.microsoft.com/office/drawing/2015/06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038140"/>
          <c:y val="0.144870"/>
          <c:w val="0.236850"/>
          <c:h val="0.578710"/>
        </c:manualLayout>
      </c:layout>
      <c:pieChart>
        <c:varyColors val="1"/>
        <c:ser>
          <c:idx val="0"/>
          <c:order val="0"/>
          <c:dPt>
            <c:idx val="0"/>
            <c:spPr bwMode="auto">
              <a:prstGeom prst="rect">
                <a:avLst/>
              </a:prstGeom>
              <a:gradFill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1"/>
            <c:spPr bwMode="auto">
              <a:prstGeom prst="rect">
                <a:avLst/>
              </a:prstGeom>
              <a:gradFill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2"/>
            <c:spPr bwMode="auto">
              <a:prstGeom prst="rect">
                <a:avLst/>
              </a:prstGeom>
              <a:gradFill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3"/>
            <c:spPr bwMode="auto">
              <a:prstGeom prst="rect">
                <a:avLst/>
              </a:prstGeom>
              <a:gradFill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Pt>
            <c:idx val="4"/>
            <c:spPr bwMode="auto">
              <a:prstGeom prst="rect">
                <a:avLst/>
              </a:prstGeom>
              <a:gradFill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</c:spPr>
          </c:dPt>
          <c:dLbls>
            <c:dLbl>
              <c:idx val="0"/>
              <c:dLblPos val="outEnd"/>
              <c:layout>
                <c:manualLayout>
                  <c:x val="-0.013050"/>
                  <c:y val="-0.33256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1"/>
              <c:dLblPos val="outEnd"/>
              <c:layout>
                <c:manualLayout>
                  <c:x val="0.002940"/>
                  <c:y val="0.0747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2"/>
              <c:dLblPos val="outEnd"/>
              <c:layout/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3"/>
              <c:dLblPos val="outEnd"/>
              <c:layout>
                <c:manualLayout>
                  <c:x val="0.009250"/>
                  <c:y val="-0.01049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>
              <c:idx val="4"/>
              <c:dLblPos val="outEnd"/>
              <c:layout>
                <c:manualLayout>
                  <c:x val="0.027980"/>
                  <c:y val="-0.018730"/>
                </c:manualLayout>
              </c:layout>
              <c:separator xml:space="preserve"> </c:separator>
              <c:showBubbleSize val="0"/>
              <c:showCatName val="0"/>
              <c:showLegendKey val="0"/>
              <c:showPercent val="0"/>
              <c:showSerName val="0"/>
              <c:showVal val="1"/>
              <c:spPr bwMode="auto">
                <a:prstGeom prst="rect">
                  <a:avLst/>
                </a:prstGeom>
                <a:noFill/>
                <a:ln>
                  <a:noFill/>
                </a:ln>
              </c:spPr>
              <c:tx>
                <c:rich>
                  <a:bodyPr/>
                  <a:p>
                    <a:pPr>
                      <a:defRPr sz="80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/>
                      <a:t>5,8%</a:t>
                    </a:r>
                    <a:endParaRPr/>
                  </a:p>
                </c:rich>
              </c:tx>
              <c:txPr>
                <a:bodyPr/>
                <a:p>
                  <a:pPr>
                    <a:defRPr sz="80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/>
                </a:p>
              </c:txPr>
            </c:dLbl>
            <c:dLblPos val="outEnd"/>
            <c:separator xml:space="preserve"> </c:separator>
            <c:showBubbleSize val="0"/>
            <c:showCatName val="0"/>
            <c:showLeaderLines val="1"/>
            <c:showLegendKey val="0"/>
            <c:showPercent val="0"/>
            <c:showSerName val="0"/>
            <c:showVal val="1"/>
            <c:spPr bwMode="auto">
              <a:prstGeom prst="rect">
                <a:avLst/>
              </a:prstGeom>
              <a:noFill/>
              <a:ln>
                <a:noFill/>
              </a:ln>
            </c:spPr>
            <c:txPr>
              <a:bodyPr/>
              <a:p>
                <a:pPr>
                  <a:defRPr sz="80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/>
              </a:p>
            </c:txPr>
          </c:dLbls>
          <c:cat>
            <c:strRef>
              <c:f>'Лист1'!$L$5:$L$9</c:f>
              <c:strCache>
                <c:ptCount val="5"/>
                <c:pt idx="0">
                  <c:v xml:space="preserve">вопросы, относящиеся  к сфере кредитования: оформление и погашение кредитов, условия ипотечных программ, высокая кредитная нагрузка, проблемная задолженность по кредитам, оформление банкротства, мошеннические действия.</c:v>
                </c:pt>
                <c:pt idx="1">
                  <c:v xml:space="preserve">финансовые вопросы в сфере страхования, банковских вкладов, инвестиций и др.</c:v>
                </c:pt>
                <c:pt idx="2">
                  <c:v xml:space="preserve">вопросы, касающиеся работы кредитно-потребительских кооперативов</c:v>
                </c:pt>
                <c:pt idx="3">
                  <c:v xml:space="preserve">иные вопросы</c:v>
                </c:pt>
                <c:pt idx="4">
                  <c:v xml:space="preserve">обращения по финансовым вопросам от мобилизованных граждан и членов их семей</c:v>
                </c:pt>
              </c:strCache>
            </c:strRef>
          </c:cat>
          <c:val>
            <c:numRef>
              <c:f>'Лист1'!$M$5:$M$9</c:f>
              <c:numCache>
                <c:formatCode>0.0%</c:formatCode>
                <c:ptCount val="5"/>
                <c:pt idx="0">
                  <c:v>0.6231884057971014</c:v>
                </c:pt>
                <c:pt idx="1">
                  <c:v>0.15942028985507245</c:v>
                </c:pt>
                <c:pt idx="2">
                  <c:v>0.08695652173913043</c:v>
                </c:pt>
                <c:pt idx="3">
                  <c:v>0.07246376811594203</c:v>
                </c:pt>
                <c:pt idx="4">
                  <c:v>0.057971014492753624</c:v>
                </c:pt>
              </c:numCache>
            </c:numRef>
          </c:val>
        </c:ser>
        <c:dLbls>
          <c:dLblPos val="outEnd"/>
          <c:separator xml:space="preserve"> </c:separator>
          <c:showBubbleSize val="0"/>
          <c:showCatName val="0"/>
          <c:showLeaderLines val="1"/>
          <c:showLegendKey val="0"/>
          <c:showPercent val="0"/>
          <c:showSerName val="0"/>
          <c:showVal val="1"/>
          <c:spPr bwMode="auto">
            <a:prstGeom prst="rect">
              <a:avLst/>
            </a:prstGeom>
            <a:noFill/>
            <a:ln>
              <a:noFill/>
            </a:ln>
          </c:spPr>
          <c:txPr>
            <a:bodyPr/>
            <a:p>
              <a:pPr>
                <a:defRPr sz="80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/>
            </a:p>
          </c:txPr>
        </c:dLbls>
        <c:firstSliceAng val="0"/>
      </c:pieChart>
      <c:spPr bwMode="auto">
        <a:prstGeom prst="rect">
          <a:avLst/>
        </a:prstGeom>
        <a:noFill/>
        <a:ln>
          <a:noFill/>
        </a:ln>
      </c:spPr>
    </c:plotArea>
    <c:legend>
      <c:legendPos val="b"/>
      <c:layout>
        <c:manualLayout>
          <c:xMode val="edge"/>
          <c:yMode val="edge"/>
          <c:x val="0.307980"/>
          <c:y val="0.043640"/>
          <c:w val="0.694960"/>
          <c:h val="0.913340"/>
        </c:manualLayout>
      </c:layout>
      <c:overlay val="0"/>
      <c:spPr bwMode="auto">
        <a:prstGeom prst="rect">
          <a:avLst/>
        </a:prstGeom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>
              <a:solidFill>
                <a:schemeClr val="tx1"/>
              </a:solidFill>
              <a:latin typeface="PT Astra Serif"/>
              <a:ea typeface="PT Astra Serif"/>
              <a:cs typeface="PT Astra Serif"/>
            </a:defRPr>
          </a:pPr>
          <a:endParaRPr lang="en-US"/>
        </a:p>
      </c:txPr>
    </c:legend>
    <c:plotVisOnly val="1"/>
    <c:dispBlanksAs val="zero"/>
    <c:showDLblsOverMax val="0"/>
  </c:chart>
  <c:spPr bwMode="auto">
    <a:xfrm>
      <a:off x="0" y="0"/>
      <a:ext cx="6476999" cy="2618904"/>
    </a:xfrm>
    <a:prstGeom prst="rect">
      <a:avLst/>
    </a:prstGeom>
    <a:solidFill>
      <a:schemeClr val="bg1"/>
    </a:solidFill>
    <a:ln w="9525" cap="flat" cmpd="sng" algn="ctr">
      <a:solidFill>
        <a:schemeClr val="bg1"/>
      </a:solidFill>
      <a:prstDash val="solid"/>
      <a:round/>
    </a:ln>
  </c:spPr>
  <c:txPr>
    <a:bodyPr rot="0" vert="horz"/>
    <a:lstStyle/>
    <a:p>
      <a:pPr>
        <a:defRPr sz="800">
          <a:solidFill>
            <a:schemeClr val="tx2"/>
          </a:solidFill>
          <a:latin typeface="+mn-lt"/>
          <a:ea typeface="+mn-ea"/>
          <a:cs typeface="+mn-cs"/>
        </a:defRPr>
      </a:pPr>
      <a:endParaRPr lang="ru-RU"/>
    </a:p>
  </c:txPr>
  <c:externalData r:id="rId3">
    <c:autoUpdate val="0"/>
  </c:externalData>
  <c:printSettings>
    <c:headerFooter/>
    <c:pageMargins l="0.69999999999999996" r="0.69999999999999996" t="0.75" b="0.75" header="0.29999999999999999" footer="0.29999999999999999"/>
    <c:pageSetup/>
  </c:printSettings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/>
  </cs:axisTitle>
  <cs:category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ategoryAxis>
  <cs:chartArea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chartArea>
  <cs:dataLabel>
    <cs:lnRef idx="0"/>
    <cs:fillRef idx="0"/>
    <cs:effectRef idx="0"/>
    <cs:fontRef idx="minor">
      <a:schemeClr val="tx2"/>
    </cs:fontRef>
    <cs:defRPr sz="900"/>
  </cs:dataLabel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 bwMode="auto">
      <a:prstGeom prst="rect">
        <a:avLst/>
      </a:prstGeom>
      <a:ln w="12700">
        <a:solidFill>
          <a:schemeClr val="lt2"/>
        </a:solidFill>
        <a:round/>
      </a:ln>
    </cs:spPr>
  </cs:dataPointMarker>
  <cs:dataPointWireframe>
    <cs:lnRef idx="0">
      <cs:styleClr val="auto"/>
    </cs:lnRef>
    <cs:fillRef idx="3"/>
    <cs:effectRef idx="2"/>
    <cs:fontRef idx="minor">
      <a:schemeClr val="tx2"/>
    </cs:fontRef>
    <cs:spPr bwMode="auto">
      <a:prstGeom prst="rect">
        <a:avLst/>
      </a:prstGeom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 bwMode="auto">
      <a:prstGeom prst="rect">
        <a:avLst/>
      </a:prstGeom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 bwMode="auto">
      <a:prstGeom prst="rect">
        <a:avLst/>
      </a:prstGeom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 bwMode="auto">
      <a:prstGeom prst="rect">
        <a:avLst/>
      </a:prstGeom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2"/>
    </cs:fontRef>
    <cs:spPr bwMode="auto">
      <a:prstGeom prst="rect">
        <a:avLst/>
      </a:prstGeom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/>
  </cs:title>
  <cs:trendline>
    <cs:lnRef idx="0">
      <cs:styleClr val="auto"/>
    </cs:lnRef>
    <cs:fillRef idx="0"/>
    <cs:effectRef idx="0"/>
    <cs:fontRef idx="minor">
      <a:schemeClr val="tx2"/>
    </cs:fontRef>
    <cs:spPr bwMode="auto">
      <a:prstGeom prst="rect">
        <a:avLst/>
      </a:prstGeom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/>
  </cs:trendlineLabel>
  <cs:upBar>
    <cs:lnRef idx="0"/>
    <cs:fillRef idx="0"/>
    <cs:effectRef idx="0"/>
    <cs:fontRef idx="minor">
      <a:schemeClr val="tx2"/>
    </cs:fontRef>
    <cs:spPr bwMode="auto">
      <a:prstGeom prst="rect">
        <a:avLst/>
      </a:prstGeom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/>
  </cs:valueAxis>
  <cs:wall>
    <cs:lnRef idx="0"/>
    <cs:fillRef idx="0"/>
    <cs:effectRef idx="0"/>
    <cs:fontRef idx="minor">
      <a:schemeClr val="tx2"/>
    </cs:fontRef>
  </cs:wall>
  <cs:dataPointMarkerLayout symbol="circle" size="6"/>
</cs:chartStyl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fys</dc:creator>
  <cp:lastModifiedBy>balov</cp:lastModifiedBy>
  <cp:revision>67</cp:revision>
  <dcterms:created xsi:type="dcterms:W3CDTF">2022-10-17T11:01:00Z</dcterms:created>
  <dcterms:modified xsi:type="dcterms:W3CDTF">2026-02-09T09:09:23Z</dcterms:modified>
  <cp:version>786432</cp:version>
</cp:coreProperties>
</file>