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rFonts w:ascii="PT Astra Serif" w:hAnsi="PT Astra Serif"/>
          <w:b/>
          <w:bCs/>
          <w:sz w:val="26"/>
          <w:szCs w:val="26"/>
          <w:highlight w:val="none"/>
        </w:rPr>
        <w:outlineLvl w:val="1"/>
      </w:pPr>
      <w:r>
        <w:rPr>
          <w:rFonts w:ascii="PT Astra Serif" w:hAnsi="PT Astra Serif"/>
          <w:b/>
          <w:bCs/>
          <w:sz w:val="26"/>
          <w:szCs w:val="26"/>
        </w:rPr>
        <w:t xml:space="preserve">П</w:t>
      </w:r>
      <w:r>
        <w:rPr>
          <w:rFonts w:ascii="PT Astra Serif" w:hAnsi="PT Astra Serif"/>
          <w:b/>
          <w:bCs/>
          <w:sz w:val="26"/>
          <w:szCs w:val="26"/>
        </w:rPr>
        <w:t xml:space="preserve">РОТОКОЛ </w:t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</w:p>
    <w:p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рассмотрения и оценки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заявок</w:t>
      </w:r>
      <w:r>
        <w:rPr>
          <w:rFonts w:ascii="PT Astra Serif" w:hAnsi="PT Astra Serif"/>
          <w:b/>
          <w:bCs/>
          <w:sz w:val="26"/>
          <w:szCs w:val="26"/>
        </w:rPr>
        <w:t xml:space="preserve"> на участие в </w:t>
      </w:r>
      <w:r>
        <w:rPr>
          <w:rFonts w:ascii="PT Astra Serif" w:hAnsi="PT Astra Serif"/>
          <w:b/>
          <w:sz w:val="26"/>
          <w:szCs w:val="26"/>
        </w:rPr>
        <w:t xml:space="preserve">отборе </w:t>
      </w:r>
      <w:r>
        <w:rPr>
          <w:rFonts w:ascii="PT Astra Serif" w:hAnsi="PT Astra Serif"/>
          <w:b/>
          <w:sz w:val="26"/>
          <w:szCs w:val="26"/>
        </w:rPr>
        <w:t xml:space="preserve">финансовых организаций на оказание услуг по организации </w:t>
      </w:r>
      <w:r>
        <w:rPr>
          <w:rFonts w:ascii="PT Astra Serif" w:hAnsi="PT Astra Serif"/>
          <w:b/>
          <w:sz w:val="26"/>
          <w:szCs w:val="26"/>
        </w:rPr>
        <w:t xml:space="preserve">выпуска, </w:t>
      </w:r>
      <w:r>
        <w:rPr>
          <w:rFonts w:ascii="PT Astra Serif" w:hAnsi="PT Astra Serif"/>
          <w:b/>
          <w:sz w:val="26"/>
          <w:szCs w:val="26"/>
        </w:rPr>
        <w:t xml:space="preserve">размещения </w:t>
      </w:r>
      <w:r>
        <w:rPr>
          <w:rFonts w:ascii="PT Astra Serif" w:hAnsi="PT Astra Serif"/>
          <w:b/>
          <w:sz w:val="26"/>
          <w:szCs w:val="26"/>
        </w:rPr>
        <w:t xml:space="preserve">и обращения </w:t>
      </w:r>
      <w:bookmarkStart w:id="0" w:name="_GoBack"/>
      <w:r>
        <w:rPr>
          <w:sz w:val="26"/>
          <w:szCs w:val="26"/>
        </w:rPr>
      </w:r>
      <w:bookmarkEnd w:id="0"/>
      <w:r>
        <w:rPr>
          <w:rFonts w:ascii="PT Astra Serif" w:hAnsi="PT Astra Serif"/>
          <w:b/>
          <w:sz w:val="26"/>
          <w:szCs w:val="26"/>
        </w:rPr>
        <w:t xml:space="preserve">государственных облигаций Томской области</w:t>
      </w:r>
      <w:r>
        <w:rPr>
          <w:rFonts w:ascii="PT Astra Serif" w:hAnsi="PT Astra Serif"/>
          <w:b/>
          <w:sz w:val="26"/>
          <w:szCs w:val="26"/>
        </w:rPr>
        <w:t xml:space="preserve">.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right"/>
        <w:widowControl w:val="off"/>
        <w:rPr>
          <w:rFonts w:ascii="PT Astra Serif" w:hAnsi="PT Astra Serif"/>
          <w:b/>
          <w:sz w:val="26"/>
          <w:szCs w:val="26"/>
        </w:rPr>
        <w:outlineLvl w:val="1"/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right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09</w:t>
      </w:r>
      <w:r>
        <w:rPr>
          <w:rFonts w:ascii="PT Astra Serif" w:hAnsi="PT Astra Serif"/>
          <w:sz w:val="26"/>
          <w:szCs w:val="26"/>
        </w:rPr>
        <w:t xml:space="preserve">.12.2025, </w:t>
        <w:br/>
        <w:t xml:space="preserve">12</w:t>
      </w:r>
      <w:r>
        <w:rPr>
          <w:rFonts w:ascii="PT Astra Serif" w:hAnsi="PT Astra Serif"/>
          <w:sz w:val="26"/>
          <w:szCs w:val="26"/>
        </w:rPr>
        <w:t xml:space="preserve">.30</w:t>
      </w:r>
      <w:r>
        <w:rPr>
          <w:rFonts w:ascii="PT Astra Serif" w:hAnsi="PT Astra Serif"/>
          <w:sz w:val="26"/>
          <w:szCs w:val="26"/>
        </w:rPr>
        <w:t xml:space="preserve"> часов по местному времени.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Государственный заказчик: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58"/>
        <w:gridCol w:w="5527"/>
      </w:tblGrid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Наименование: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5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Департамент финансов Томской области</w:t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Место нахождения и почтовый адрес: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5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Cs/>
                <w:sz w:val="26"/>
                <w:szCs w:val="26"/>
              </w:rPr>
            </w:pPr>
            <w:r>
              <w:rPr>
                <w:rFonts w:ascii="PT Astra Serif" w:hAnsi="PT Astra Serif"/>
                <w:bCs/>
                <w:sz w:val="26"/>
                <w:szCs w:val="26"/>
              </w:rPr>
              <w:t xml:space="preserve">634050, г. Томск, пр. Ленина, 111</w:t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  <w:r>
              <w:rPr>
                <w:rFonts w:ascii="PT Astra Serif" w:hAnsi="PT Astra Serif"/>
                <w:bCs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Адрес электронной почты: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5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hyperlink r:id="rId9" w:tooltip="mailto:koa@depfin70.ru" w:history="1">
              <w:r>
                <w:rPr>
                  <w:rStyle w:val="851"/>
                  <w:rFonts w:ascii="PT Astra Serif" w:hAnsi="PT Astra Serif"/>
                  <w:sz w:val="26"/>
                  <w:szCs w:val="26"/>
                  <w:lang w:val="en-US"/>
                </w:rPr>
                <w:t xml:space="preserve">koa</w:t>
              </w:r>
              <w:r>
                <w:rPr>
                  <w:rStyle w:val="851"/>
                  <w:rFonts w:ascii="PT Astra Serif" w:hAnsi="PT Astra Serif"/>
                  <w:sz w:val="26"/>
                  <w:szCs w:val="26"/>
                </w:rPr>
                <w:t xml:space="preserve">@</w:t>
              </w:r>
              <w:r>
                <w:rPr>
                  <w:rStyle w:val="851"/>
                  <w:rFonts w:ascii="PT Astra Serif" w:hAnsi="PT Astra Serif"/>
                  <w:sz w:val="26"/>
                  <w:szCs w:val="26"/>
                  <w:lang w:val="en-US"/>
                </w:rPr>
                <w:t xml:space="preserve">depfin</w:t>
              </w:r>
              <w:r>
                <w:rPr>
                  <w:rStyle w:val="851"/>
                  <w:rFonts w:ascii="PT Astra Serif" w:hAnsi="PT Astra Serif"/>
                  <w:sz w:val="26"/>
                  <w:szCs w:val="26"/>
                </w:rPr>
                <w:t xml:space="preserve">70.</w:t>
              </w:r>
              <w:r>
                <w:rPr>
                  <w:rStyle w:val="851"/>
                  <w:rFonts w:ascii="PT Astra Serif" w:hAnsi="PT Astra Serif"/>
                  <w:sz w:val="26"/>
                  <w:szCs w:val="26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Номер контактного телефона: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5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(3822) 712-372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058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Ответственное должностное лицо: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W w:w="552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Ольга Александровна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Наименование объекта закупки: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 по организации выпуска, размещения</w:t>
        <w:br/>
        <w:t xml:space="preserve">и обращения государственных облигаций Томской области 2025-2028 годов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Идентификационный код закупки: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252700000088570170100100450006612244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Начальная (максимальная) цена контракта:</w:t>
      </w:r>
      <w:r>
        <w:rPr>
          <w:rFonts w:ascii="PT Astra Serif" w:hAnsi="PT Astra Serif"/>
          <w:sz w:val="26"/>
          <w:szCs w:val="26"/>
        </w:rPr>
        <w:t xml:space="preserve"> 27 000 000,0 рублей.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Процедуру рассмотрения и оценки </w:t>
      </w:r>
      <w:r>
        <w:rPr>
          <w:rFonts w:ascii="PT Astra Serif" w:hAnsi="PT Astra Serif"/>
          <w:b/>
          <w:sz w:val="26"/>
          <w:szCs w:val="26"/>
        </w:rPr>
        <w:t xml:space="preserve">заявок </w:t>
      </w:r>
      <w:r>
        <w:rPr>
          <w:rFonts w:ascii="PT Astra Serif" w:hAnsi="PT Astra Serif"/>
          <w:b/>
          <w:sz w:val="26"/>
          <w:szCs w:val="26"/>
        </w:rPr>
        <w:t xml:space="preserve">на участие в </w:t>
      </w:r>
      <w:r>
        <w:rPr>
          <w:rFonts w:ascii="PT Astra Serif" w:hAnsi="PT Astra Serif"/>
          <w:b/>
          <w:sz w:val="26"/>
          <w:szCs w:val="26"/>
        </w:rPr>
        <w:t xml:space="preserve">отборе</w:t>
      </w:r>
      <w:r>
        <w:rPr>
          <w:rFonts w:ascii="PT Astra Serif" w:hAnsi="PT Astra Serif"/>
          <w:b/>
          <w:sz w:val="26"/>
          <w:szCs w:val="26"/>
        </w:rPr>
        <w:t xml:space="preserve"> (далее - заявка)</w:t>
      </w:r>
      <w:r>
        <w:rPr>
          <w:rFonts w:ascii="PT Astra Serif" w:hAnsi="PT Astra Serif"/>
          <w:b/>
          <w:sz w:val="26"/>
          <w:szCs w:val="26"/>
        </w:rPr>
        <w:t xml:space="preserve"> проводила: </w:t>
      </w:r>
      <w:r>
        <w:rPr>
          <w:rFonts w:ascii="PT Astra Serif" w:hAnsi="PT Astra Serif"/>
          <w:color w:val="000000"/>
          <w:sz w:val="26"/>
          <w:szCs w:val="26"/>
        </w:rPr>
        <w:t xml:space="preserve">комиссия Департамент</w:t>
      </w:r>
      <w:r>
        <w:rPr>
          <w:rFonts w:ascii="PT Astra Serif" w:hAnsi="PT Astra Serif"/>
          <w:color w:val="000000"/>
          <w:sz w:val="26"/>
          <w:szCs w:val="26"/>
        </w:rPr>
        <w:t xml:space="preserve">а финансов Томской области по осуществлению отбора финансовых организаций, оказывающих услуги по организации выпуска, размещения и обращения государственных облигаций Томской области, по организации областных внутренних облигационных займов Томской области</w:t>
      </w:r>
      <w:r>
        <w:rPr>
          <w:rFonts w:ascii="PT Astra Serif" w:hAnsi="PT Astra Serif"/>
          <w:sz w:val="26"/>
          <w:szCs w:val="26"/>
        </w:rPr>
        <w:t xml:space="preserve"> (утверждена распоряжением от 2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11</w:t>
      </w:r>
      <w:r>
        <w:rPr>
          <w:rFonts w:ascii="PT Astra Serif" w:hAnsi="PT Astra Serif"/>
          <w:sz w:val="26"/>
          <w:szCs w:val="26"/>
        </w:rPr>
        <w:t xml:space="preserve">.201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 № 1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/5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-р) (далее - комиссия).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0" w:right="5856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ind w:left="40" w:right="5856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Состав комиссии: </w:t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p>
      <w:pPr>
        <w:ind w:left="40" w:right="5856"/>
        <w:widowControl w:val="off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  <w:r>
        <w:rPr>
          <w:rFonts w:ascii="PT Astra Serif" w:hAnsi="PT Astra Serif"/>
          <w:b/>
          <w:sz w:val="26"/>
          <w:szCs w:val="26"/>
        </w:rPr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2920"/>
        <w:gridCol w:w="2344"/>
      </w:tblGrid>
      <w:tr>
        <w:tblPrEx/>
        <w:trPr>
          <w:trHeight w:val="339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Роль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vAlign w:val="center"/>
            <w:textDirection w:val="lrTb"/>
            <w:noWrap w:val="false"/>
          </w:tcPr>
          <w:p>
            <w:pPr>
              <w:ind w:left="30" w:right="30"/>
              <w:jc w:val="center"/>
              <w:widowControl w:val="off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Статус</w:t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  <w:r>
              <w:rPr>
                <w:rFonts w:ascii="PT Astra Serif" w:hAnsi="PT Astra Serif"/>
                <w:b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Фролова Ю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лия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адимовна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Сидонская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Яна Викторовна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Прозорова Людмила Геннадьевна 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ind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Присутствовала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Болтовская Оксана Валериевна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рисутствовал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Гребенников Михаил Львович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Отсутствовал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6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Ольга Александровна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428" w:type="pct"/>
            <w:textDirection w:val="lrTb"/>
            <w:noWrap w:val="false"/>
          </w:tcPr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комиссии, 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ind w:left="30" w:right="3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 т.ч. за секретаря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46" w:type="pct"/>
            <w:textDirection w:val="lrTb"/>
            <w:noWrap w:val="false"/>
          </w:tcPr>
          <w:p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Присутствовала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Кворум имеется.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Оценка заявок на участие в Отборе была осуществлена комиссией на основании указанных в документации по отбору финансовой организации на оказание услуг по организации выпуска, размещения и обращения государственных облигаций Томской области 2025</w:t>
      </w:r>
      <w:r>
        <w:rPr>
          <w:rFonts w:ascii="PT Astra Serif" w:hAnsi="PT Astra Serif"/>
          <w:sz w:val="26"/>
          <w:szCs w:val="26"/>
        </w:rPr>
        <w:t xml:space="preserve">-2028 годов (далее – документация по отбору) критериев и порядка оценки.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b/>
          <w:bCs/>
          <w:sz w:val="26"/>
          <w:szCs w:val="26"/>
          <w:highlight w:val="none"/>
        </w:rPr>
      </w:pPr>
      <w:r>
        <w:rPr>
          <w:rFonts w:ascii="PT Astra Serif" w:hAnsi="PT Astra Serif"/>
          <w:b/>
          <w:sz w:val="26"/>
          <w:szCs w:val="26"/>
        </w:rPr>
        <w:t xml:space="preserve">Результаты оценки заявок, допущенных к участию в отборе:</w:t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  <w:r>
        <w:rPr>
          <w:rFonts w:ascii="PT Astra Serif" w:hAnsi="PT Astra Serif"/>
          <w:b/>
          <w:bCs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  <w:t xml:space="preserve">По результатам оценки заявок на участие произведен расчет итоговых рейтингов финансовых организаций:</w:t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</w:p>
    <w:tbl>
      <w:tblPr>
        <w:tblStyle w:val="84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843"/>
        <w:gridCol w:w="2409"/>
        <w:gridCol w:w="2092"/>
      </w:tblGrid>
      <w:tr>
        <w:tblPrEx/>
        <w:trPr>
          <w:trHeight w:val="995"/>
        </w:trPr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Наименование показателя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gridSpan w:val="3"/>
            <w:tcW w:w="63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Оценки итоговых рейтингов финансовых организаций в порядке регистрации в журнале заявок на участие в отборе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699"/>
        </w:trPr>
        <w:tc>
          <w:tcPr>
            <w:tcW w:w="396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ООО «БК Регион»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«Газпромбанк» (АО)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ПАО «Совкомбанк»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Опыт размещения облигаций на российском рынке капитала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3,87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13,96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13,03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Позиции агента на российском рынке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7,89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14,97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Стратегия подготовки и реализации размещения облигаций, предложенная агентом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Размер вознаграждения, запрашиваемый 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8,96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14,78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Деловая репутация агента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  <w:t xml:space="preserve">20,0</w:t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 w:val="0"/>
                <w:bCs w:val="0"/>
                <w:sz w:val="26"/>
                <w:szCs w:val="26"/>
                <w:highlight w:val="none"/>
              </w:rPr>
            </w:r>
          </w:p>
        </w:tc>
      </w:tr>
      <w:tr>
        <w:tblPrEx/>
        <w:trPr/>
        <w:tc>
          <w:tcPr>
            <w:tcW w:w="396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  <w:t xml:space="preserve">ИТОГО: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  <w:t xml:space="preserve">71,76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  <w:t xml:space="preserve">82,92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</w:p>
        </w:tc>
        <w:tc>
          <w:tcPr>
            <w:tcW w:w="20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  <w:t xml:space="preserve">82,78</w:t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b/>
                <w:bCs/>
                <w:sz w:val="26"/>
                <w:szCs w:val="26"/>
                <w:highlight w:val="none"/>
              </w:rPr>
            </w:r>
          </w:p>
        </w:tc>
      </w:tr>
    </w:tbl>
    <w:p>
      <w:pPr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/>
          <w:b w:val="0"/>
          <w:bCs w:val="0"/>
          <w:sz w:val="26"/>
          <w:szCs w:val="26"/>
        </w:rPr>
      </w:r>
      <w:r>
        <w:rPr>
          <w:rFonts w:ascii="PT Astra Serif" w:hAnsi="PT Astra Serif"/>
          <w:b w:val="0"/>
          <w:bCs w:val="0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Решение комиссии: 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На основании произведенной оценки заявок, а также в соответствии  с пунктом 9.4 документации по отбору, </w:t>
      </w:r>
      <w:r>
        <w:rPr>
          <w:rFonts w:ascii="PT Astra Serif" w:hAnsi="PT Astra Serif"/>
          <w:b/>
          <w:bCs/>
          <w:sz w:val="26"/>
          <w:szCs w:val="26"/>
          <w:highlight w:val="none"/>
        </w:rPr>
        <w:t xml:space="preserve">комиссия решила</w:t>
      </w:r>
      <w:r>
        <w:rPr>
          <w:rFonts w:ascii="PT Astra Serif" w:hAnsi="PT Astra Serif"/>
          <w:sz w:val="26"/>
          <w:szCs w:val="26"/>
          <w:highlight w:val="none"/>
        </w:rPr>
        <w:t xml:space="preserve">: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pStyle w:val="677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признать победителем в отборе агента для оказания услуг </w:t>
      </w:r>
      <w:r>
        <w:rPr>
          <w:rFonts w:ascii="PT Astra Serif" w:hAnsi="PT Astra Serif"/>
          <w:sz w:val="26"/>
          <w:szCs w:val="26"/>
        </w:rPr>
        <w:t xml:space="preserve">по организации выпуска, размещения и обращения государственных облигаций Томской области 2025-2028 годов «Газпромбанк» (АО)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677"/>
        <w:numPr>
          <w:ilvl w:val="0"/>
          <w:numId w:val="3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заключить государственный контракт с </w:t>
      </w:r>
      <w:r>
        <w:rPr>
          <w:rFonts w:ascii="PT Astra Serif" w:hAnsi="PT Astra Serif"/>
          <w:sz w:val="26"/>
          <w:szCs w:val="26"/>
        </w:rPr>
        <w:t xml:space="preserve">«Газпромбанк» (АО)</w:t>
      </w:r>
      <w:r>
        <w:rPr>
          <w:rFonts w:ascii="PT Astra Serif" w:hAnsi="PT Astra Serif"/>
          <w:sz w:val="26"/>
          <w:szCs w:val="26"/>
        </w:rPr>
        <w:t xml:space="preserve"> в порядке и сроки, определенные документацией по отбору.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709" w:firstLine="0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протокол размещается на официальном сайте Департамента финансов Томской области не позднее рабочего дня, следующего за датой рассмотрения и оценки заявок.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left="40" w:right="3022"/>
        <w:widowControl w:val="off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  <w:t xml:space="preserve">Подписи присутствующих: </w:t>
      </w: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</w:p>
    <w:p>
      <w:pPr>
        <w:ind w:left="40" w:right="3022"/>
        <w:widowControl w:val="off"/>
        <w:rPr>
          <w:rFonts w:ascii="PT Astra Serif" w:hAnsi="PT Astra Serif"/>
          <w:b/>
          <w:color w:val="000000"/>
          <w:sz w:val="26"/>
          <w:szCs w:val="26"/>
        </w:rPr>
      </w:pP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  <w:r>
        <w:rPr>
          <w:rFonts w:ascii="PT Astra Serif" w:hAnsi="PT Astra Serif"/>
          <w:b/>
          <w:color w:val="000000"/>
          <w:sz w:val="26"/>
          <w:szCs w:val="26"/>
        </w:rPr>
      </w:r>
    </w:p>
    <w:tbl>
      <w:tblPr>
        <w:tblW w:w="103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0"/>
        <w:gridCol w:w="2844"/>
        <w:gridCol w:w="3531"/>
      </w:tblGrid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комиссии: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Фролова Ю.В.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  <w14:ligatures w14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Сидонская Я.В.</w:t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  <w:r>
              <w:rPr>
                <w:rFonts w:ascii="PT Astra Serif" w:hAnsi="PT Astra Serif"/>
                <w:sz w:val="26"/>
                <w:szCs w:val="26"/>
                <w14:ligatures w14:val="none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2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ind w:left="40" w:right="40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Прозорова Л.Г.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Болтовская О.В.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405"/>
        </w:trPr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Член комиссии, в т.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ч. за секретаря: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2844" w:type="dxa"/>
            <w:vMerge w:val="restart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widowControl w:val="off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Караева О.А.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</w:p>
        </w:tc>
      </w:tr>
      <w:tr>
        <w:tblPrEx/>
        <w:trPr>
          <w:trHeight w:val="405"/>
        </w:trPr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60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44" w:type="dxa"/>
            <w:textDirection w:val="lrTb"/>
            <w:noWrap w:val="false"/>
          </w:tcPr>
          <w:p>
            <w:pPr>
              <w:ind w:left="40" w:right="40"/>
              <w:jc w:val="center"/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(подпись)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531" w:type="dxa"/>
            <w:textDirection w:val="lrTb"/>
            <w:noWrap w:val="false"/>
          </w:tcPr>
          <w:p>
            <w:pPr>
              <w:widowControl w:val="off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720" w:right="720" w:bottom="720" w:left="720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right"/>
      <w:pPr>
        <w:ind w:left="540" w:hanging="180"/>
        <w:tabs>
          <w:tab w:val="num" w:pos="54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/>
        <w:i w:val="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color w:val="auto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1">
    <w:name w:val="Heading 1"/>
    <w:basedOn w:val="833"/>
    <w:next w:val="833"/>
    <w:link w:val="66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2">
    <w:name w:val="Heading 1 Char"/>
    <w:basedOn w:val="836"/>
    <w:link w:val="661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6"/>
    <w:link w:val="834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836"/>
    <w:link w:val="835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6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6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6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6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6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3"/>
    <w:next w:val="833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6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List Paragraph"/>
    <w:basedOn w:val="833"/>
    <w:uiPriority w:val="34"/>
    <w:qFormat/>
    <w:pPr>
      <w:contextualSpacing/>
      <w:ind w:left="720"/>
    </w:pPr>
  </w:style>
  <w:style w:type="paragraph" w:styleId="678">
    <w:name w:val="No Spacing"/>
    <w:uiPriority w:val="1"/>
    <w:qFormat/>
    <w:pPr>
      <w:spacing w:before="0" w:after="0" w:line="240" w:lineRule="auto"/>
    </w:pPr>
  </w:style>
  <w:style w:type="paragraph" w:styleId="679">
    <w:name w:val="Title"/>
    <w:basedOn w:val="833"/>
    <w:next w:val="833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6"/>
    <w:link w:val="679"/>
    <w:uiPriority w:val="10"/>
    <w:rPr>
      <w:sz w:val="48"/>
      <w:szCs w:val="48"/>
    </w:rPr>
  </w:style>
  <w:style w:type="paragraph" w:styleId="681">
    <w:name w:val="Subtitle"/>
    <w:basedOn w:val="833"/>
    <w:next w:val="833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6"/>
    <w:link w:val="681"/>
    <w:uiPriority w:val="11"/>
    <w:rPr>
      <w:sz w:val="24"/>
      <w:szCs w:val="24"/>
    </w:rPr>
  </w:style>
  <w:style w:type="paragraph" w:styleId="683">
    <w:name w:val="Quote"/>
    <w:basedOn w:val="833"/>
    <w:next w:val="833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3"/>
    <w:next w:val="833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paragraph" w:styleId="687">
    <w:name w:val="Header"/>
    <w:basedOn w:val="833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Header Char"/>
    <w:basedOn w:val="836"/>
    <w:link w:val="687"/>
    <w:uiPriority w:val="99"/>
  </w:style>
  <w:style w:type="paragraph" w:styleId="689">
    <w:name w:val="Footer"/>
    <w:basedOn w:val="833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Footer Char"/>
    <w:basedOn w:val="836"/>
    <w:link w:val="689"/>
    <w:uiPriority w:val="99"/>
  </w:style>
  <w:style w:type="paragraph" w:styleId="691">
    <w:name w:val="Caption"/>
    <w:basedOn w:val="833"/>
    <w:next w:val="833"/>
    <w:link w:val="69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836"/>
    <w:link w:val="691"/>
    <w:uiPriority w:val="35"/>
    <w:rPr>
      <w:b/>
      <w:bCs/>
      <w:color w:val="4f81bd" w:themeColor="accent1"/>
      <w:sz w:val="18"/>
      <w:szCs w:val="18"/>
    </w:rPr>
  </w:style>
  <w:style w:type="table" w:styleId="693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Footnote Text Char"/>
    <w:link w:val="841"/>
    <w:uiPriority w:val="99"/>
    <w:rPr>
      <w:sz w:val="18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6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rPr>
      <w:sz w:val="24"/>
      <w:szCs w:val="24"/>
    </w:rPr>
  </w:style>
  <w:style w:type="paragraph" w:styleId="834">
    <w:name w:val="Heading 2"/>
    <w:basedOn w:val="833"/>
    <w:next w:val="833"/>
    <w:link w:val="845"/>
    <w:qFormat/>
    <w:pPr>
      <w:keepNext/>
      <w:spacing w:before="240" w:after="60"/>
      <w:widowControl w:val="off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35">
    <w:name w:val="Heading 3"/>
    <w:basedOn w:val="833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 w:customStyle="1">
    <w:name w:val="offset251"/>
    <w:basedOn w:val="833"/>
    <w:pPr>
      <w:ind w:left="375"/>
      <w:spacing w:before="100" w:beforeAutospacing="1" w:after="100" w:afterAutospacing="1"/>
    </w:pPr>
  </w:style>
  <w:style w:type="paragraph" w:styleId="840">
    <w:name w:val="Normal (Web)"/>
    <w:basedOn w:val="833"/>
    <w:pPr>
      <w:spacing w:before="100" w:beforeAutospacing="1" w:after="100" w:afterAutospacing="1"/>
    </w:pPr>
  </w:style>
  <w:style w:type="paragraph" w:styleId="841">
    <w:name w:val="footnote text"/>
    <w:basedOn w:val="833"/>
    <w:link w:val="843"/>
    <w:semiHidden/>
    <w:pPr>
      <w:widowControl w:val="off"/>
    </w:pPr>
    <w:rPr>
      <w:rFonts w:ascii="Arial" w:hAnsi="Arial" w:cs="Arial"/>
      <w:sz w:val="20"/>
      <w:szCs w:val="20"/>
    </w:rPr>
  </w:style>
  <w:style w:type="character" w:styleId="842">
    <w:name w:val="footnote reference"/>
    <w:semiHidden/>
    <w:rPr>
      <w:vertAlign w:val="superscript"/>
    </w:rPr>
  </w:style>
  <w:style w:type="character" w:styleId="843" w:customStyle="1">
    <w:name w:val="Текст сноски Знак1"/>
    <w:link w:val="841"/>
    <w:rPr>
      <w:rFonts w:ascii="Arial" w:hAnsi="Arial" w:cs="Arial"/>
      <w:lang w:val="ru-RU" w:eastAsia="ru-RU" w:bidi="ar-SA"/>
    </w:rPr>
  </w:style>
  <w:style w:type="paragraph" w:styleId="844" w:customStyle="1">
    <w:name w:val="ConsPlusNormal"/>
    <w:rPr>
      <w:sz w:val="24"/>
      <w:szCs w:val="24"/>
    </w:rPr>
  </w:style>
  <w:style w:type="character" w:styleId="845" w:customStyle="1">
    <w:name w:val="Заголовок 2 Знак"/>
    <w:link w:val="83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846">
    <w:name w:val="Balloon Text"/>
    <w:basedOn w:val="833"/>
    <w:semiHidden/>
    <w:rPr>
      <w:rFonts w:ascii="Tahoma" w:hAnsi="Tahoma" w:cs="Tahoma"/>
      <w:sz w:val="16"/>
      <w:szCs w:val="16"/>
    </w:rPr>
  </w:style>
  <w:style w:type="table" w:styleId="847">
    <w:name w:val="Table Grid"/>
    <w:basedOn w:val="83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 w:customStyle="1">
    <w:name w:val="ConsNormal"/>
    <w:link w:val="849"/>
    <w:pPr>
      <w:ind w:right="19772" w:firstLine="720"/>
      <w:widowControl w:val="off"/>
    </w:pPr>
    <w:rPr>
      <w:rFonts w:ascii="Arial" w:hAnsi="Arial" w:cs="Arial"/>
      <w:sz w:val="22"/>
      <w:szCs w:val="22"/>
    </w:rPr>
  </w:style>
  <w:style w:type="character" w:styleId="849" w:customStyle="1">
    <w:name w:val="ConsNormal Знак"/>
    <w:basedOn w:val="836"/>
    <w:link w:val="848"/>
    <w:rPr>
      <w:rFonts w:ascii="Arial" w:hAnsi="Arial" w:cs="Arial"/>
      <w:sz w:val="22"/>
      <w:szCs w:val="22"/>
      <w:lang w:val="ru-RU" w:eastAsia="ru-RU" w:bidi="ar-SA"/>
    </w:rPr>
  </w:style>
  <w:style w:type="paragraph" w:styleId="850" w:customStyle="1">
    <w:name w:val="Style7"/>
    <w:basedOn w:val="833"/>
    <w:pPr>
      <w:widowControl w:val="off"/>
    </w:pPr>
  </w:style>
  <w:style w:type="character" w:styleId="851">
    <w:name w:val="Hyperlink"/>
    <w:basedOn w:val="836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mailto:koa@depfin70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Ольга Александровна</dc:creator>
  <cp:lastModifiedBy>koa</cp:lastModifiedBy>
  <cp:revision>20</cp:revision>
  <dcterms:created xsi:type="dcterms:W3CDTF">2020-09-04T06:48:00Z</dcterms:created>
  <dcterms:modified xsi:type="dcterms:W3CDTF">2025-12-10T09:17:40Z</dcterms:modified>
</cp:coreProperties>
</file>