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rFonts w:ascii="PT Astra Serif" w:hAnsi="PT Astra Serif"/>
          <w:b/>
          <w:bCs/>
          <w:sz w:val="26"/>
          <w:szCs w:val="26"/>
          <w:highlight w:val="none"/>
        </w:rPr>
        <w:outlineLvl w:val="1"/>
      </w:pPr>
      <w:r>
        <w:rPr>
          <w:rFonts w:ascii="PT Astra Serif" w:hAnsi="PT Astra Serif"/>
          <w:b/>
          <w:bCs/>
          <w:sz w:val="26"/>
          <w:szCs w:val="26"/>
        </w:rPr>
        <w:t xml:space="preserve">П</w:t>
      </w:r>
      <w:r>
        <w:rPr>
          <w:rFonts w:ascii="PT Astra Serif" w:hAnsi="PT Astra Serif"/>
          <w:b/>
          <w:bCs/>
          <w:sz w:val="26"/>
          <w:szCs w:val="26"/>
        </w:rPr>
        <w:t xml:space="preserve">РОТОКОЛ </w:t>
      </w:r>
      <w:r>
        <w:rPr>
          <w:rFonts w:ascii="PT Astra Serif" w:hAnsi="PT Astra Serif"/>
          <w:b/>
          <w:bCs/>
          <w:sz w:val="26"/>
          <w:szCs w:val="26"/>
          <w:highlight w:val="none"/>
        </w:rPr>
      </w:r>
      <w:r>
        <w:rPr>
          <w:rFonts w:ascii="PT Astra Serif" w:hAnsi="PT Astra Serif"/>
          <w:b/>
          <w:bCs/>
          <w:sz w:val="26"/>
          <w:szCs w:val="26"/>
          <w:highlight w:val="none"/>
        </w:rPr>
      </w:r>
    </w:p>
    <w:p>
      <w:pPr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вскрытия конвертов</w:t>
      </w:r>
      <w:r>
        <w:rPr>
          <w:rFonts w:ascii="PT Astra Serif" w:hAnsi="PT Astra Serif"/>
          <w:b/>
          <w:sz w:val="26"/>
          <w:szCs w:val="26"/>
        </w:rPr>
        <w:t xml:space="preserve"> с </w:t>
      </w:r>
      <w:r>
        <w:rPr>
          <w:rFonts w:ascii="PT Astra Serif" w:hAnsi="PT Astra Serif"/>
          <w:b/>
          <w:sz w:val="26"/>
          <w:szCs w:val="26"/>
        </w:rPr>
        <w:t xml:space="preserve">заявками</w:t>
      </w:r>
      <w:r>
        <w:rPr>
          <w:rFonts w:ascii="PT Astra Serif" w:hAnsi="PT Astra Serif"/>
          <w:b/>
          <w:bCs/>
          <w:sz w:val="26"/>
          <w:szCs w:val="26"/>
        </w:rPr>
        <w:t xml:space="preserve"> на участие в </w:t>
      </w:r>
      <w:r>
        <w:rPr>
          <w:rFonts w:ascii="PT Astra Serif" w:hAnsi="PT Astra Serif"/>
          <w:b/>
          <w:sz w:val="26"/>
          <w:szCs w:val="26"/>
        </w:rPr>
        <w:t xml:space="preserve">отборе </w:t>
      </w:r>
      <w:r>
        <w:rPr>
          <w:rFonts w:ascii="PT Astra Serif" w:hAnsi="PT Astra Serif"/>
          <w:b/>
          <w:sz w:val="26"/>
          <w:szCs w:val="26"/>
        </w:rPr>
        <w:t xml:space="preserve">финансовых организаций на оказание услуг по организации </w:t>
      </w:r>
      <w:r>
        <w:rPr>
          <w:rFonts w:ascii="PT Astra Serif" w:hAnsi="PT Astra Serif"/>
          <w:b/>
          <w:sz w:val="26"/>
          <w:szCs w:val="26"/>
        </w:rPr>
        <w:t xml:space="preserve">выпуска, </w:t>
      </w:r>
      <w:r>
        <w:rPr>
          <w:rFonts w:ascii="PT Astra Serif" w:hAnsi="PT Astra Serif"/>
          <w:b/>
          <w:sz w:val="26"/>
          <w:szCs w:val="26"/>
        </w:rPr>
        <w:t xml:space="preserve">размещения </w:t>
      </w:r>
      <w:r>
        <w:rPr>
          <w:rFonts w:ascii="PT Astra Serif" w:hAnsi="PT Astra Serif"/>
          <w:b/>
          <w:sz w:val="26"/>
          <w:szCs w:val="26"/>
        </w:rPr>
        <w:t xml:space="preserve">и обращения </w:t>
      </w:r>
      <w:bookmarkStart w:id="0" w:name="_GoBack"/>
      <w:r>
        <w:rPr>
          <w:sz w:val="26"/>
          <w:szCs w:val="26"/>
        </w:rPr>
      </w:r>
      <w:bookmarkEnd w:id="0"/>
      <w:r>
        <w:rPr>
          <w:rFonts w:ascii="PT Astra Serif" w:hAnsi="PT Astra Serif"/>
          <w:b/>
          <w:sz w:val="26"/>
          <w:szCs w:val="26"/>
        </w:rPr>
        <w:t xml:space="preserve">государственных облигаций Томской области</w:t>
      </w:r>
      <w:r>
        <w:rPr>
          <w:rFonts w:ascii="PT Astra Serif" w:hAnsi="PT Astra Serif"/>
          <w:b/>
          <w:sz w:val="26"/>
          <w:szCs w:val="26"/>
        </w:rPr>
        <w:t xml:space="preserve">.</w:t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jc w:val="right"/>
        <w:widowControl w:val="off"/>
        <w:rPr>
          <w:rFonts w:ascii="PT Astra Serif" w:hAnsi="PT Astra Serif"/>
          <w:b/>
          <w:sz w:val="26"/>
          <w:szCs w:val="26"/>
        </w:rPr>
        <w:outlineLvl w:val="1"/>
      </w:pP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Место</w:t>
      </w:r>
      <w:r>
        <w:rPr>
          <w:rFonts w:ascii="PT Astra Serif" w:hAnsi="PT Astra Serif"/>
          <w:b/>
          <w:sz w:val="26"/>
          <w:szCs w:val="26"/>
        </w:rPr>
        <w:t xml:space="preserve">, дата и время</w:t>
      </w:r>
      <w:r>
        <w:rPr>
          <w:rFonts w:ascii="PT Astra Serif" w:hAnsi="PT Astra Serif"/>
          <w:b/>
          <w:sz w:val="26"/>
          <w:szCs w:val="26"/>
        </w:rPr>
        <w:t xml:space="preserve"> вскрытия конверт</w:t>
      </w:r>
      <w:r>
        <w:rPr>
          <w:rFonts w:ascii="PT Astra Serif" w:hAnsi="PT Astra Serif"/>
          <w:b/>
          <w:sz w:val="26"/>
          <w:szCs w:val="26"/>
        </w:rPr>
        <w:t xml:space="preserve">а</w:t>
      </w:r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b/>
          <w:sz w:val="26"/>
          <w:szCs w:val="26"/>
        </w:rPr>
        <w:t xml:space="preserve">с </w:t>
      </w:r>
      <w:r>
        <w:rPr>
          <w:rFonts w:ascii="PT Astra Serif" w:hAnsi="PT Astra Serif"/>
          <w:b/>
          <w:sz w:val="26"/>
          <w:szCs w:val="26"/>
        </w:rPr>
        <w:t xml:space="preserve">заявк</w:t>
      </w:r>
      <w:r>
        <w:rPr>
          <w:rFonts w:ascii="PT Astra Serif" w:hAnsi="PT Astra Serif"/>
          <w:b/>
          <w:sz w:val="26"/>
          <w:szCs w:val="26"/>
        </w:rPr>
        <w:t xml:space="preserve">ой </w:t>
      </w:r>
      <w:r>
        <w:rPr>
          <w:rFonts w:ascii="PT Astra Serif" w:hAnsi="PT Astra Serif"/>
          <w:b/>
          <w:sz w:val="26"/>
          <w:szCs w:val="26"/>
        </w:rPr>
        <w:t xml:space="preserve">на участие в </w:t>
      </w:r>
      <w:r>
        <w:rPr>
          <w:rFonts w:ascii="PT Astra Serif" w:hAnsi="PT Astra Serif"/>
          <w:b/>
          <w:sz w:val="26"/>
          <w:szCs w:val="26"/>
        </w:rPr>
        <w:t xml:space="preserve">отборе</w:t>
      </w:r>
      <w:r>
        <w:rPr>
          <w:rFonts w:ascii="PT Astra Serif" w:hAnsi="PT Astra Serif"/>
          <w:b/>
          <w:sz w:val="26"/>
          <w:szCs w:val="26"/>
        </w:rPr>
        <w:t xml:space="preserve">: </w:t>
      </w:r>
      <w:r>
        <w:rPr>
          <w:rFonts w:ascii="PT Astra Serif" w:hAnsi="PT Astra Serif"/>
          <w:sz w:val="26"/>
          <w:szCs w:val="26"/>
        </w:rPr>
        <w:t xml:space="preserve">634050, г. Томск, пр. Ленина, 111, 3 этаж, каб. </w:t>
      </w:r>
      <w:r>
        <w:rPr>
          <w:rFonts w:ascii="PT Astra Serif" w:hAnsi="PT Astra Serif"/>
          <w:sz w:val="26"/>
          <w:szCs w:val="26"/>
        </w:rPr>
        <w:t xml:space="preserve">20</w:t>
      </w:r>
      <w:r>
        <w:rPr>
          <w:rFonts w:ascii="PT Astra Serif" w:hAnsi="PT Astra Serif"/>
          <w:sz w:val="26"/>
          <w:szCs w:val="26"/>
        </w:rPr>
        <w:t xml:space="preserve">, 09</w:t>
      </w:r>
      <w:r>
        <w:rPr>
          <w:rFonts w:ascii="PT Astra Serif" w:hAnsi="PT Astra Serif"/>
          <w:sz w:val="26"/>
          <w:szCs w:val="26"/>
        </w:rPr>
        <w:t xml:space="preserve">.12.2025, 12</w:t>
      </w:r>
      <w:r>
        <w:rPr>
          <w:rFonts w:ascii="PT Astra Serif" w:hAnsi="PT Astra Serif"/>
          <w:sz w:val="26"/>
          <w:szCs w:val="26"/>
        </w:rPr>
        <w:t xml:space="preserve">.00</w:t>
      </w:r>
      <w:r>
        <w:rPr>
          <w:rFonts w:ascii="PT Astra Serif" w:hAnsi="PT Astra Serif"/>
          <w:sz w:val="26"/>
          <w:szCs w:val="26"/>
        </w:rPr>
        <w:t xml:space="preserve"> часов по местному времени.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widowControl w:val="off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jc w:val="both"/>
        <w:widowControl w:val="off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Государственный заказчик:</w:t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058"/>
        <w:gridCol w:w="5058"/>
      </w:tblGrid>
      <w:tr>
        <w:tblPrEx/>
        <w:trPr/>
        <w:tc>
          <w:tcPr>
            <w:shd w:val="clear" w:color="auto" w:fill="auto"/>
            <w:tcW w:w="505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Наименование: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W w:w="505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Департамент финансов Томской области</w:t>
            </w:r>
            <w:r>
              <w:rPr>
                <w:rFonts w:ascii="PT Astra Serif" w:hAnsi="PT Astra Serif"/>
                <w:bCs/>
                <w:sz w:val="26"/>
                <w:szCs w:val="26"/>
              </w:rPr>
            </w:r>
            <w:r>
              <w:rPr>
                <w:rFonts w:ascii="PT Astra Serif" w:hAnsi="PT Astra Serif"/>
                <w:bCs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505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Место нахождения и почтовый адрес: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W w:w="505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634050, г. Томск, пр. Ленина, 111</w:t>
            </w:r>
            <w:r>
              <w:rPr>
                <w:rFonts w:ascii="PT Astra Serif" w:hAnsi="PT Astra Serif"/>
                <w:bCs/>
                <w:sz w:val="26"/>
                <w:szCs w:val="26"/>
              </w:rPr>
            </w:r>
            <w:r>
              <w:rPr>
                <w:rFonts w:ascii="PT Astra Serif" w:hAnsi="PT Astra Serif"/>
                <w:bCs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505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Адрес электронной почты: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W w:w="505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hyperlink r:id="rId9" w:tooltip="mailto:koa@depfin70.ru" w:history="1">
              <w:r>
                <w:rPr>
                  <w:rStyle w:val="847"/>
                  <w:rFonts w:ascii="PT Astra Serif" w:hAnsi="PT Astra Serif"/>
                  <w:sz w:val="26"/>
                  <w:szCs w:val="26"/>
                  <w:lang w:val="en-US"/>
                </w:rPr>
                <w:t xml:space="preserve">koa</w:t>
              </w:r>
              <w:r>
                <w:rPr>
                  <w:rStyle w:val="847"/>
                  <w:rFonts w:ascii="PT Astra Serif" w:hAnsi="PT Astra Serif"/>
                  <w:sz w:val="26"/>
                  <w:szCs w:val="26"/>
                </w:rPr>
                <w:t xml:space="preserve">@</w:t>
              </w:r>
              <w:r>
                <w:rPr>
                  <w:rStyle w:val="847"/>
                  <w:rFonts w:ascii="PT Astra Serif" w:hAnsi="PT Astra Serif"/>
                  <w:sz w:val="26"/>
                  <w:szCs w:val="26"/>
                  <w:lang w:val="en-US"/>
                </w:rPr>
                <w:t xml:space="preserve">depfin</w:t>
              </w:r>
              <w:r>
                <w:rPr>
                  <w:rStyle w:val="847"/>
                  <w:rFonts w:ascii="PT Astra Serif" w:hAnsi="PT Astra Serif"/>
                  <w:sz w:val="26"/>
                  <w:szCs w:val="26"/>
                </w:rPr>
                <w:t xml:space="preserve">70.</w:t>
              </w:r>
              <w:r>
                <w:rPr>
                  <w:rStyle w:val="847"/>
                  <w:rFonts w:ascii="PT Astra Serif" w:hAnsi="PT Astra Serif"/>
                  <w:sz w:val="26"/>
                  <w:szCs w:val="26"/>
                  <w:lang w:val="en-US"/>
                </w:rPr>
                <w:t xml:space="preserve">ru</w:t>
              </w:r>
            </w:hyperlink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505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Номер контактного телефона: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W w:w="505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(3822) 712-372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505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Ответственное должностное лицо: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W w:w="505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Караева Ольга Александровна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jc w:val="both"/>
        <w:widowControl w:val="off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Наименование объекта закупки: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услуги по организации выпуска, размещения и обращения государственных облигаций Томской области 2025-2028 годов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Идентификационный код закупки: 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252700000088570170100100450006612244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Начальная (максимальная) цена контракта:</w:t>
      </w:r>
      <w:r>
        <w:rPr>
          <w:rFonts w:ascii="PT Astra Serif" w:hAnsi="PT Astra Serif"/>
          <w:sz w:val="26"/>
          <w:szCs w:val="26"/>
        </w:rPr>
        <w:t xml:space="preserve"> 27 000 000,0 рублей.</w:t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Процедуру </w:t>
      </w:r>
      <w:r>
        <w:rPr>
          <w:rFonts w:ascii="PT Astra Serif" w:hAnsi="PT Astra Serif"/>
          <w:b/>
          <w:sz w:val="26"/>
          <w:szCs w:val="26"/>
        </w:rPr>
        <w:t xml:space="preserve">вскрытия конверт</w:t>
      </w:r>
      <w:r>
        <w:rPr>
          <w:rFonts w:ascii="PT Astra Serif" w:hAnsi="PT Astra Serif"/>
          <w:b/>
          <w:sz w:val="26"/>
          <w:szCs w:val="26"/>
        </w:rPr>
        <w:t xml:space="preserve">а</w:t>
      </w:r>
      <w:r>
        <w:rPr>
          <w:rFonts w:ascii="PT Astra Serif" w:hAnsi="PT Astra Serif"/>
          <w:b/>
          <w:sz w:val="26"/>
          <w:szCs w:val="26"/>
        </w:rPr>
        <w:t xml:space="preserve"> с заявк</w:t>
      </w:r>
      <w:r>
        <w:rPr>
          <w:rFonts w:ascii="PT Astra Serif" w:hAnsi="PT Astra Serif"/>
          <w:b/>
          <w:sz w:val="26"/>
          <w:szCs w:val="26"/>
        </w:rPr>
        <w:t xml:space="preserve">ой</w:t>
      </w:r>
      <w:r>
        <w:rPr>
          <w:rFonts w:ascii="PT Astra Serif" w:hAnsi="PT Astra Serif"/>
          <w:b/>
          <w:sz w:val="26"/>
          <w:szCs w:val="26"/>
        </w:rPr>
        <w:t xml:space="preserve">, рассмотрения и оценки заяв</w:t>
      </w:r>
      <w:r>
        <w:rPr>
          <w:rFonts w:ascii="PT Astra Serif" w:hAnsi="PT Astra Serif"/>
          <w:b/>
          <w:sz w:val="26"/>
          <w:szCs w:val="26"/>
        </w:rPr>
        <w:t xml:space="preserve">ки</w:t>
      </w:r>
      <w:r>
        <w:rPr>
          <w:rFonts w:ascii="PT Astra Serif" w:hAnsi="PT Astra Serif"/>
          <w:b/>
          <w:bCs/>
          <w:sz w:val="26"/>
          <w:szCs w:val="26"/>
        </w:rPr>
        <w:t xml:space="preserve"> </w:t>
      </w:r>
      <w:r>
        <w:rPr>
          <w:rFonts w:ascii="PT Astra Serif" w:hAnsi="PT Astra Serif"/>
          <w:b/>
          <w:sz w:val="26"/>
          <w:szCs w:val="26"/>
        </w:rPr>
        <w:t xml:space="preserve">на участие в </w:t>
      </w:r>
      <w:r>
        <w:rPr>
          <w:rFonts w:ascii="PT Astra Serif" w:hAnsi="PT Astra Serif"/>
          <w:b/>
          <w:sz w:val="26"/>
          <w:szCs w:val="26"/>
        </w:rPr>
        <w:t xml:space="preserve">отборе</w:t>
      </w:r>
      <w:r>
        <w:rPr>
          <w:rFonts w:ascii="PT Astra Serif" w:hAnsi="PT Astra Serif"/>
          <w:b/>
          <w:sz w:val="26"/>
          <w:szCs w:val="26"/>
        </w:rPr>
        <w:t xml:space="preserve"> (далее - заявка)</w:t>
      </w:r>
      <w:r>
        <w:rPr>
          <w:rFonts w:ascii="PT Astra Serif" w:hAnsi="PT Astra Serif"/>
          <w:b/>
          <w:sz w:val="26"/>
          <w:szCs w:val="26"/>
        </w:rPr>
        <w:t xml:space="preserve"> проводила: </w:t>
      </w:r>
      <w:r>
        <w:rPr>
          <w:rFonts w:ascii="PT Astra Serif" w:hAnsi="PT Astra Serif"/>
          <w:color w:val="000000"/>
          <w:sz w:val="26"/>
          <w:szCs w:val="26"/>
        </w:rPr>
        <w:t xml:space="preserve">комиссия Департамент</w:t>
      </w:r>
      <w:r>
        <w:rPr>
          <w:rFonts w:ascii="PT Astra Serif" w:hAnsi="PT Astra Serif"/>
          <w:color w:val="000000"/>
          <w:sz w:val="26"/>
          <w:szCs w:val="26"/>
        </w:rPr>
        <w:t xml:space="preserve">а финансов Томской области по осуществлению отбора финансовых организаций, оказывающих услуги по организации выпуска, размещения и обращения государственных облигаций Томской области, по организации областных внутренних облигационных займов Томской области</w:t>
      </w:r>
      <w:r>
        <w:rPr>
          <w:rFonts w:ascii="PT Astra Serif" w:hAnsi="PT Astra Serif"/>
          <w:sz w:val="26"/>
          <w:szCs w:val="26"/>
        </w:rPr>
        <w:t xml:space="preserve"> (утверждена распоряжением от 2</w:t>
      </w:r>
      <w:r>
        <w:rPr>
          <w:rFonts w:ascii="PT Astra Serif" w:hAnsi="PT Astra Serif"/>
          <w:sz w:val="26"/>
          <w:szCs w:val="26"/>
        </w:rPr>
        <w:t xml:space="preserve">7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11</w:t>
      </w:r>
      <w:r>
        <w:rPr>
          <w:rFonts w:ascii="PT Astra Serif" w:hAnsi="PT Astra Serif"/>
          <w:sz w:val="26"/>
          <w:szCs w:val="26"/>
        </w:rPr>
        <w:t xml:space="preserve">.201</w:t>
      </w:r>
      <w:r>
        <w:rPr>
          <w:rFonts w:ascii="PT Astra Serif" w:hAnsi="PT Astra Serif"/>
          <w:sz w:val="26"/>
          <w:szCs w:val="26"/>
        </w:rPr>
        <w:t xml:space="preserve">7</w:t>
      </w:r>
      <w:r>
        <w:rPr>
          <w:rFonts w:ascii="PT Astra Serif" w:hAnsi="PT Astra Serif"/>
          <w:sz w:val="26"/>
          <w:szCs w:val="26"/>
        </w:rPr>
        <w:t xml:space="preserve"> № 1</w:t>
      </w: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/5</w:t>
      </w:r>
      <w:r>
        <w:rPr>
          <w:rFonts w:ascii="PT Astra Serif" w:hAnsi="PT Astra Serif"/>
          <w:sz w:val="26"/>
          <w:szCs w:val="26"/>
        </w:rPr>
        <w:t xml:space="preserve">0</w:t>
      </w:r>
      <w:r>
        <w:rPr>
          <w:rFonts w:ascii="PT Astra Serif" w:hAnsi="PT Astra Serif"/>
          <w:sz w:val="26"/>
          <w:szCs w:val="26"/>
        </w:rPr>
        <w:t xml:space="preserve">-р) (далее - комиссия).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40" w:right="5856"/>
        <w:widowControl w:val="off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ind w:left="40" w:right="5856"/>
        <w:widowControl w:val="off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Состав комиссии: </w:t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1"/>
        <w:gridCol w:w="2920"/>
        <w:gridCol w:w="2344"/>
      </w:tblGrid>
      <w:tr>
        <w:tblPrEx/>
        <w:trPr>
          <w:trHeight w:val="339"/>
        </w:trPr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6" w:type="pct"/>
            <w:vAlign w:val="center"/>
            <w:textDirection w:val="lrTb"/>
            <w:noWrap w:val="false"/>
          </w:tcPr>
          <w:p>
            <w:pPr>
              <w:ind w:left="30" w:right="30"/>
              <w:jc w:val="center"/>
              <w:widowControl w:val="off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Член комиссии</w:t>
            </w:r>
            <w:r>
              <w:rPr>
                <w:rFonts w:ascii="PT Astra Serif" w:hAnsi="PT Astra Serif"/>
                <w:b/>
                <w:sz w:val="26"/>
                <w:szCs w:val="26"/>
              </w:rPr>
            </w:r>
            <w:r>
              <w:rPr>
                <w:rFonts w:ascii="PT Astra Serif" w:hAnsi="PT Astra Serif"/>
                <w:b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28" w:type="pct"/>
            <w:vAlign w:val="center"/>
            <w:textDirection w:val="lrTb"/>
            <w:noWrap w:val="false"/>
          </w:tcPr>
          <w:p>
            <w:pPr>
              <w:ind w:left="30" w:right="30"/>
              <w:jc w:val="center"/>
              <w:widowControl w:val="off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Роль</w:t>
            </w:r>
            <w:r>
              <w:rPr>
                <w:rFonts w:ascii="PT Astra Serif" w:hAnsi="PT Astra Serif"/>
                <w:b/>
                <w:sz w:val="26"/>
                <w:szCs w:val="26"/>
              </w:rPr>
            </w:r>
            <w:r>
              <w:rPr>
                <w:rFonts w:ascii="PT Astra Serif" w:hAnsi="PT Astra Serif"/>
                <w:b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46" w:type="pct"/>
            <w:vAlign w:val="center"/>
            <w:textDirection w:val="lrTb"/>
            <w:noWrap w:val="false"/>
          </w:tcPr>
          <w:p>
            <w:pPr>
              <w:ind w:left="30" w:right="30"/>
              <w:jc w:val="center"/>
              <w:widowControl w:val="off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Статус</w:t>
            </w:r>
            <w:r>
              <w:rPr>
                <w:rFonts w:ascii="PT Astra Serif" w:hAnsi="PT Astra Serif"/>
                <w:b/>
                <w:sz w:val="26"/>
                <w:szCs w:val="26"/>
              </w:rPr>
            </w:r>
            <w:r>
              <w:rPr>
                <w:rFonts w:ascii="PT Astra Serif" w:hAnsi="PT Astra Serif"/>
                <w:b/>
                <w:sz w:val="26"/>
                <w:szCs w:val="26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6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Фролова Ю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лия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В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адимовна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28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комиссии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46" w:type="pct"/>
            <w:textDirection w:val="lrTb"/>
            <w:noWrap w:val="false"/>
          </w:tcPr>
          <w:p>
            <w:pPr>
              <w:ind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рисутствовал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6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Сидонская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Яна Викторовна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28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Член комиссии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46" w:type="pct"/>
            <w:textDirection w:val="lrTb"/>
            <w:noWrap w:val="false"/>
          </w:tcPr>
          <w:p>
            <w:pPr>
              <w:ind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рисутствовал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6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Прозорова Людмила Геннадьевна  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28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Член комиссии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46" w:type="pct"/>
            <w:textDirection w:val="lrTb"/>
            <w:noWrap w:val="false"/>
          </w:tcPr>
          <w:p>
            <w:pPr>
              <w:ind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Присутствовала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6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Болтовская Оксана Валериевна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28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Член комиссии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46" w:type="pct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рисутствовал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6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Гребенников Михаил Львович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28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Член комиссии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46" w:type="pct"/>
            <w:textDirection w:val="lrTb"/>
            <w:noWrap w:val="false"/>
          </w:tcPr>
          <w:p>
            <w:pPr>
              <w:ind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Отсутствовал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6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Караева Ольга Александровна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28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Член комиссии, 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 т.ч. за секретаря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46" w:type="pct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Присутствовала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Кворум имеется.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</w:rPr>
        <w:t xml:space="preserve">До окончания указанного в </w:t>
      </w:r>
      <w:r>
        <w:rPr>
          <w:rFonts w:ascii="PT Astra Serif" w:hAnsi="PT Astra Serif"/>
          <w:sz w:val="26"/>
          <w:szCs w:val="26"/>
        </w:rPr>
        <w:t xml:space="preserve">запросе информации для проведения отбора финансовых организаций на оказание услуг по организации размещения государственных облигаций Томской области </w:t>
      </w:r>
      <w:r>
        <w:rPr>
          <w:rFonts w:ascii="PT Astra Serif" w:hAnsi="PT Astra Serif"/>
          <w:sz w:val="26"/>
          <w:szCs w:val="26"/>
        </w:rPr>
        <w:t xml:space="preserve">срока </w:t>
      </w:r>
      <w:r>
        <w:rPr>
          <w:rFonts w:ascii="PT Astra Serif" w:hAnsi="PT Astra Serif"/>
          <w:sz w:val="26"/>
          <w:szCs w:val="26"/>
        </w:rPr>
        <w:t xml:space="preserve">поступило</w:t>
      </w:r>
      <w:r>
        <w:rPr>
          <w:rFonts w:ascii="PT Astra Serif" w:hAnsi="PT Astra Serif"/>
          <w:sz w:val="26"/>
          <w:szCs w:val="26"/>
        </w:rPr>
        <w:t xml:space="preserve"> 3</w:t>
      </w:r>
      <w:r>
        <w:rPr>
          <w:rFonts w:ascii="PT Astra Serif" w:hAnsi="PT Astra Serif"/>
          <w:sz w:val="26"/>
          <w:szCs w:val="26"/>
        </w:rPr>
        <w:t xml:space="preserve"> заявки</w:t>
      </w:r>
      <w:r>
        <w:rPr>
          <w:rFonts w:ascii="PT Astra Serif" w:hAnsi="PT Astra Serif"/>
          <w:sz w:val="26"/>
          <w:szCs w:val="26"/>
        </w:rPr>
        <w:t xml:space="preserve"> на участие в </w:t>
      </w:r>
      <w:r>
        <w:rPr>
          <w:rFonts w:ascii="PT Astra Serif" w:hAnsi="PT Astra Serif"/>
          <w:sz w:val="26"/>
          <w:szCs w:val="26"/>
        </w:rPr>
        <w:t xml:space="preserve">отборе</w:t>
      </w:r>
      <w:r>
        <w:rPr>
          <w:rFonts w:ascii="PT Astra Serif" w:hAnsi="PT Astra Serif"/>
          <w:sz w:val="26"/>
          <w:szCs w:val="26"/>
        </w:rPr>
        <w:t xml:space="preserve">. Отбор признается состоявшимся.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Результаты вскрытия конвертов:</w:t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4955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038"/>
        <w:gridCol w:w="2728"/>
        <w:gridCol w:w="4819"/>
      </w:tblGrid>
      <w:tr>
        <w:tblPrEx/>
        <w:trPr/>
        <w:tc>
          <w:tcPr>
            <w:tcW w:w="303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Регистрационный номер заявки, дата и время поступления (время местное)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W w:w="272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участника 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W w:w="481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Место нахождения 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341"/>
        </w:trPr>
        <w:tc>
          <w:tcPr>
            <w:tcW w:w="303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№1;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05.12.2025, 14:30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W w:w="272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ООО «БК Регион» 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W w:w="481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Российская Федерация, 123112, </w:t>
              <w:br/>
              <w:t xml:space="preserve">г. Москва, проезд 1-й Красногвардейский, д. 22 стр 1, этаж 21, помещ.А21, комн. 43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70"/>
        </w:trPr>
        <w:tc>
          <w:tcPr>
            <w:tcW w:w="303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№2;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08.12.2025, 09:18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W w:w="272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«Газпромбанк» (АО)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W w:w="48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Российская Федерация, 156000, Костромская область, г. Кострома, пр. Текстильщиков, д. 46 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70"/>
        </w:trPr>
        <w:tc>
          <w:tcPr>
            <w:tcW w:w="303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№3;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08.12.2025, 09:58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W w:w="272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ПАО «Совкомбанк»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W w:w="48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  <w:t xml:space="preserve">Российская Федерация, 117420, г. Москва, ул. Наметкина, дом 16, корпус 1 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  <w:t xml:space="preserve">Решение членов комиссии о результатах рассмотрения заявок на участие в отборе: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jc w:val="both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tbl>
      <w:tblPr>
        <w:tblStyle w:val="843"/>
        <w:tblW w:w="0" w:type="auto"/>
        <w:tblLayout w:type="fixed"/>
        <w:tblLook w:val="04A0" w:firstRow="1" w:lastRow="0" w:firstColumn="1" w:lastColumn="0" w:noHBand="0" w:noVBand="1"/>
      </w:tblPr>
      <w:tblGrid>
        <w:gridCol w:w="533"/>
        <w:gridCol w:w="2540"/>
        <w:gridCol w:w="1417"/>
        <w:gridCol w:w="1417"/>
        <w:gridCol w:w="1417"/>
        <w:gridCol w:w="1417"/>
        <w:gridCol w:w="1843"/>
      </w:tblGrid>
      <w:tr>
        <w:tblPrEx/>
        <w:trPr>
          <w:trHeight w:val="210"/>
        </w:trPr>
        <w:tc>
          <w:tcPr>
            <w:tcW w:w="53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№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</w:tc>
        <w:tc>
          <w:tcPr>
            <w:tcW w:w="2540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Наименование юридического лица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</w:tc>
        <w:tc>
          <w:tcPr>
            <w:gridSpan w:val="5"/>
            <w:tcW w:w="751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Решение членов комиссии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2303"/>
        </w:trPr>
        <w:tc>
          <w:tcPr>
            <w:tcW w:w="5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54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417" w:type="dxa"/>
            <w:textDirection w:val="btLr"/>
            <w:noWrap w:val="false"/>
          </w:tcPr>
          <w:p>
            <w:pPr>
              <w:ind w:left="113" w:right="113"/>
              <w:jc w:val="both"/>
              <w:rPr>
                <w:rFonts w:ascii="PT Astra Serif" w:hAnsi="PT Astra Serif"/>
                <w:sz w:val="26"/>
                <w:szCs w:val="26"/>
                <w:highlight w:val="none"/>
                <w14:ligatures w14:val="none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Фролова Ю.В.</w:t>
            </w:r>
            <w:r>
              <w:rPr>
                <w:rFonts w:ascii="PT Astra Serif" w:hAnsi="PT Astra Serif"/>
                <w:sz w:val="26"/>
                <w:szCs w:val="26"/>
                <w:highlight w:val="none"/>
                <w14:ligatures w14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  <w14:ligatures w14:val="none"/>
              </w:rPr>
            </w:r>
          </w:p>
        </w:tc>
        <w:tc>
          <w:tcPr>
            <w:tcW w:w="1417" w:type="dxa"/>
            <w:textDirection w:val="btLr"/>
            <w:noWrap w:val="false"/>
          </w:tcPr>
          <w:p>
            <w:pPr>
              <w:ind w:left="113" w:right="113"/>
              <w:jc w:val="both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Сидонская Я.В.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</w:tc>
        <w:tc>
          <w:tcPr>
            <w:tcW w:w="1417" w:type="dxa"/>
            <w:textDirection w:val="btLr"/>
            <w:noWrap w:val="false"/>
          </w:tcPr>
          <w:p>
            <w:pPr>
              <w:ind w:left="113" w:right="113"/>
              <w:jc w:val="both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Прозорова Л.Г.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</w:tc>
        <w:tc>
          <w:tcPr>
            <w:tcW w:w="1417" w:type="dxa"/>
            <w:textDirection w:val="btLr"/>
            <w:noWrap w:val="false"/>
          </w:tcPr>
          <w:p>
            <w:pPr>
              <w:ind w:left="113" w:right="113"/>
              <w:jc w:val="both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Болтовская О.В.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</w:tc>
        <w:tc>
          <w:tcPr>
            <w:tcW w:w="1843" w:type="dxa"/>
            <w:textDirection w:val="btLr"/>
            <w:noWrap w:val="false"/>
          </w:tcPr>
          <w:p>
            <w:pPr>
              <w:ind w:left="113" w:right="113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Караева О.А.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W w:w="53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1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</w:tc>
        <w:tc>
          <w:tcPr>
            <w:tcW w:w="254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</w:rPr>
              <w:t xml:space="preserve">ООО «БК Регион» 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14"/>
                <w:szCs w:val="14"/>
                <w:highlight w:val="none"/>
              </w:rPr>
            </w:pPr>
            <w:r>
              <w:rPr>
                <w:rFonts w:ascii="PT Astra Serif" w:hAnsi="PT Astra Serif"/>
                <w:sz w:val="20"/>
                <w:szCs w:val="20"/>
                <w:highlight w:val="none"/>
              </w:rPr>
              <w:t xml:space="preserve">соответствует</w:t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14"/>
                <w:szCs w:val="14"/>
                <w:highlight w:val="none"/>
              </w:rPr>
            </w:pPr>
            <w:r>
              <w:rPr>
                <w:rFonts w:ascii="PT Astra Serif" w:hAnsi="PT Astra Serif"/>
                <w:sz w:val="20"/>
                <w:szCs w:val="20"/>
                <w:highlight w:val="none"/>
              </w:rPr>
              <w:t xml:space="preserve">соответствует</w:t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14"/>
                <w:szCs w:val="14"/>
                <w:highlight w:val="none"/>
              </w:rPr>
            </w:pPr>
            <w:r>
              <w:rPr>
                <w:rFonts w:ascii="PT Astra Serif" w:hAnsi="PT Astra Serif"/>
                <w:sz w:val="20"/>
                <w:szCs w:val="20"/>
                <w:highlight w:val="none"/>
              </w:rPr>
              <w:t xml:space="preserve">соответствует</w:t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14"/>
                <w:szCs w:val="14"/>
                <w:highlight w:val="none"/>
              </w:rPr>
            </w:pPr>
            <w:r>
              <w:rPr>
                <w:rFonts w:ascii="PT Astra Serif" w:hAnsi="PT Astra Serif"/>
                <w:sz w:val="20"/>
                <w:szCs w:val="20"/>
                <w:highlight w:val="none"/>
              </w:rPr>
              <w:t xml:space="preserve">соответствует</w:t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14"/>
                <w:szCs w:val="14"/>
                <w:highlight w:val="none"/>
              </w:rPr>
            </w:pPr>
            <w:r>
              <w:rPr>
                <w:rFonts w:ascii="PT Astra Serif" w:hAnsi="PT Astra Serif"/>
                <w:sz w:val="20"/>
                <w:szCs w:val="20"/>
                <w:highlight w:val="none"/>
              </w:rPr>
              <w:t xml:space="preserve">соответствует</w:t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</w:p>
        </w:tc>
      </w:tr>
      <w:tr>
        <w:tblPrEx/>
        <w:trPr>
          <w:trHeight w:val="288"/>
        </w:trPr>
        <w:tc>
          <w:tcPr>
            <w:tcW w:w="53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2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</w:tc>
        <w:tc>
          <w:tcPr>
            <w:tcW w:w="254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</w:rPr>
              <w:t xml:space="preserve">«Газпромбанк» (АО)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14"/>
                <w:szCs w:val="14"/>
                <w:highlight w:val="none"/>
              </w:rPr>
            </w:pPr>
            <w:r>
              <w:rPr>
                <w:rFonts w:ascii="PT Astra Serif" w:hAnsi="PT Astra Serif"/>
                <w:sz w:val="20"/>
                <w:szCs w:val="20"/>
                <w:highlight w:val="none"/>
              </w:rPr>
              <w:t xml:space="preserve">соответствует</w:t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14"/>
                <w:szCs w:val="14"/>
                <w:highlight w:val="none"/>
              </w:rPr>
            </w:pPr>
            <w:r>
              <w:rPr>
                <w:rFonts w:ascii="PT Astra Serif" w:hAnsi="PT Astra Serif"/>
                <w:sz w:val="20"/>
                <w:szCs w:val="20"/>
                <w:highlight w:val="none"/>
              </w:rPr>
              <w:t xml:space="preserve">соответствует</w:t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14"/>
                <w:szCs w:val="14"/>
                <w:highlight w:val="none"/>
              </w:rPr>
            </w:pPr>
            <w:r>
              <w:rPr>
                <w:rFonts w:ascii="PT Astra Serif" w:hAnsi="PT Astra Serif"/>
                <w:sz w:val="20"/>
                <w:szCs w:val="20"/>
                <w:highlight w:val="none"/>
              </w:rPr>
              <w:t xml:space="preserve">соответствует</w:t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14"/>
                <w:szCs w:val="14"/>
                <w:highlight w:val="none"/>
              </w:rPr>
            </w:pPr>
            <w:r>
              <w:rPr>
                <w:rFonts w:ascii="PT Astra Serif" w:hAnsi="PT Astra Serif"/>
                <w:sz w:val="20"/>
                <w:szCs w:val="20"/>
                <w:highlight w:val="none"/>
              </w:rPr>
              <w:t xml:space="preserve">соответствует</w:t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14"/>
                <w:szCs w:val="14"/>
                <w:highlight w:val="none"/>
              </w:rPr>
            </w:pPr>
            <w:r>
              <w:rPr>
                <w:rFonts w:ascii="PT Astra Serif" w:hAnsi="PT Astra Serif"/>
                <w:sz w:val="20"/>
                <w:szCs w:val="20"/>
                <w:highlight w:val="none"/>
              </w:rPr>
              <w:t xml:space="preserve">соответствует</w:t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</w:p>
        </w:tc>
      </w:tr>
      <w:tr>
        <w:tblPrEx/>
        <w:trPr/>
        <w:tc>
          <w:tcPr>
            <w:tcW w:w="53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3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</w:tc>
        <w:tc>
          <w:tcPr>
            <w:tcW w:w="254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</w:rPr>
              <w:t xml:space="preserve">ПАО «Совкомбанк»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14"/>
                <w:szCs w:val="14"/>
                <w:highlight w:val="none"/>
              </w:rPr>
            </w:pPr>
            <w:r>
              <w:rPr>
                <w:rFonts w:ascii="PT Astra Serif" w:hAnsi="PT Astra Serif"/>
                <w:sz w:val="20"/>
                <w:szCs w:val="20"/>
                <w:highlight w:val="none"/>
              </w:rPr>
              <w:t xml:space="preserve">соответствует</w:t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14"/>
                <w:szCs w:val="14"/>
                <w:highlight w:val="none"/>
              </w:rPr>
            </w:pPr>
            <w:r>
              <w:rPr>
                <w:rFonts w:ascii="PT Astra Serif" w:hAnsi="PT Astra Serif"/>
                <w:sz w:val="20"/>
                <w:szCs w:val="20"/>
                <w:highlight w:val="none"/>
              </w:rPr>
              <w:t xml:space="preserve">соответствует</w:t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14"/>
                <w:szCs w:val="14"/>
                <w:highlight w:val="none"/>
              </w:rPr>
            </w:pPr>
            <w:r>
              <w:rPr>
                <w:rFonts w:ascii="PT Astra Serif" w:hAnsi="PT Astra Serif"/>
                <w:sz w:val="20"/>
                <w:szCs w:val="20"/>
                <w:highlight w:val="none"/>
              </w:rPr>
              <w:t xml:space="preserve">соответствует</w:t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14"/>
                <w:szCs w:val="14"/>
                <w:highlight w:val="none"/>
              </w:rPr>
            </w:pPr>
            <w:r>
              <w:rPr>
                <w:rFonts w:ascii="PT Astra Serif" w:hAnsi="PT Astra Serif"/>
                <w:sz w:val="20"/>
                <w:szCs w:val="20"/>
                <w:highlight w:val="none"/>
              </w:rPr>
              <w:t xml:space="preserve">соответствует</w:t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14"/>
                <w:szCs w:val="14"/>
                <w:highlight w:val="none"/>
              </w:rPr>
            </w:pPr>
            <w:r>
              <w:rPr>
                <w:rFonts w:ascii="PT Astra Serif" w:hAnsi="PT Astra Serif"/>
                <w:sz w:val="20"/>
                <w:szCs w:val="20"/>
                <w:highlight w:val="none"/>
              </w:rPr>
              <w:t xml:space="preserve">соответствует</w:t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  <w:r>
              <w:rPr>
                <w:rFonts w:ascii="PT Astra Serif" w:hAnsi="PT Astra Serif"/>
                <w:sz w:val="14"/>
                <w:szCs w:val="14"/>
                <w:highlight w:val="none"/>
              </w:rPr>
            </w:r>
          </w:p>
        </w:tc>
      </w:tr>
    </w:tbl>
    <w:p>
      <w:pPr>
        <w:jc w:val="both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jc w:val="both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</w:rPr>
        <w:t xml:space="preserve">Заявки на участие соответствуют требованиям, установленным в документации. </w:t>
      </w:r>
      <w:r>
        <w:rPr>
          <w:rFonts w:ascii="PT Astra Serif" w:hAnsi="PT Astra Serif"/>
          <w:sz w:val="26"/>
          <w:szCs w:val="26"/>
        </w:rPr>
        <w:t xml:space="preserve">Комиссией принято решение о допуске поступивших заявок к участию в отборе.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jc w:val="both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ind w:left="40" w:right="3022"/>
        <w:widowControl w:val="off"/>
        <w:rPr>
          <w:rFonts w:ascii="PT Astra Serif" w:hAnsi="PT Astra Serif"/>
          <w:b/>
          <w:color w:val="000000"/>
          <w:sz w:val="26"/>
          <w:szCs w:val="26"/>
        </w:rPr>
      </w:pPr>
      <w:r>
        <w:rPr>
          <w:rFonts w:ascii="PT Astra Serif" w:hAnsi="PT Astra Serif"/>
          <w:b/>
          <w:color w:val="000000"/>
          <w:sz w:val="26"/>
          <w:szCs w:val="26"/>
        </w:rPr>
        <w:t xml:space="preserve">Подписи присутствующих: </w:t>
      </w:r>
      <w:r>
        <w:rPr>
          <w:rFonts w:ascii="PT Astra Serif" w:hAnsi="PT Astra Serif"/>
          <w:b/>
          <w:color w:val="000000"/>
          <w:sz w:val="26"/>
          <w:szCs w:val="26"/>
        </w:rPr>
      </w:r>
      <w:r>
        <w:rPr>
          <w:rFonts w:ascii="PT Astra Serif" w:hAnsi="PT Astra Serif"/>
          <w:b/>
          <w:color w:val="000000"/>
          <w:sz w:val="26"/>
          <w:szCs w:val="26"/>
        </w:rPr>
      </w:r>
    </w:p>
    <w:tbl>
      <w:tblPr>
        <w:tblW w:w="99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0"/>
        <w:gridCol w:w="2844"/>
        <w:gridCol w:w="3096"/>
      </w:tblGrid>
      <w:tr>
        <w:tblPrEx/>
        <w:trPr>
          <w:trHeight w:val="405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widowControl w:val="off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комиссии: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844" w:type="dxa"/>
            <w:vMerge w:val="restart"/>
            <w:textDirection w:val="lrTb"/>
            <w:noWrap w:val="false"/>
          </w:tcPr>
          <w:p>
            <w:pPr>
              <w:ind w:left="40" w:right="40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9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widowControl w:val="off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Фролова Ю.В.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405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44" w:type="dxa"/>
            <w:vMerge w:val="restart"/>
            <w:textDirection w:val="lrTb"/>
            <w:noWrap w:val="false"/>
          </w:tcPr>
          <w:p>
            <w:pPr>
              <w:ind w:left="40" w:right="40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(подпись)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9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40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textDirection w:val="lrTb"/>
            <w:noWrap w:val="false"/>
          </w:tcPr>
          <w:p>
            <w:pPr>
              <w:ind w:left="40" w:right="40"/>
              <w:widowControl w:val="off"/>
              <w:rPr>
                <w:rFonts w:ascii="PT Astra Serif" w:hAnsi="PT Astra Serif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Член комиссии:</w:t>
            </w:r>
            <w:r>
              <w:rPr>
                <w:rFonts w:ascii="PT Astra Serif" w:hAnsi="PT Astra Serif"/>
                <w:sz w:val="26"/>
                <w:szCs w:val="26"/>
                <w14:ligatures w14:val="none"/>
              </w:rPr>
            </w:r>
            <w:r>
              <w:rPr>
                <w:rFonts w:ascii="PT Astra Serif" w:hAnsi="PT Astra Serif"/>
                <w:sz w:val="26"/>
                <w:szCs w:val="26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844" w:type="dxa"/>
            <w:textDirection w:val="lrTb"/>
            <w:noWrap w:val="false"/>
          </w:tcPr>
          <w:p>
            <w:pPr>
              <w:ind w:left="40" w:right="40"/>
              <w:widowControl w:val="off"/>
              <w:rPr>
                <w:rFonts w:ascii="PT Astra Serif" w:hAnsi="PT Astra Serif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  <w14:ligatures w14:val="none"/>
              </w:rPr>
            </w:r>
            <w:r>
              <w:rPr>
                <w:rFonts w:ascii="PT Astra Serif" w:hAnsi="PT Astra Serif"/>
                <w:sz w:val="26"/>
                <w:szCs w:val="26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96" w:type="dxa"/>
            <w:textDirection w:val="lrTb"/>
            <w:noWrap w:val="false"/>
          </w:tcPr>
          <w:p>
            <w:pPr>
              <w:ind w:left="40" w:right="40"/>
              <w:widowControl w:val="off"/>
              <w:rPr>
                <w:rFonts w:ascii="PT Astra Serif" w:hAnsi="PT Astra Serif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Сидонская Я.В.</w:t>
            </w:r>
            <w:r>
              <w:rPr>
                <w:rFonts w:ascii="PT Astra Serif" w:hAnsi="PT Astra Serif"/>
                <w:sz w:val="26"/>
                <w:szCs w:val="26"/>
                <w14:ligatures w14:val="none"/>
              </w:rPr>
            </w:r>
            <w:r>
              <w:rPr>
                <w:rFonts w:ascii="PT Astra Serif" w:hAnsi="PT Astra Serif"/>
                <w:sz w:val="26"/>
                <w:szCs w:val="26"/>
                <w14:ligatures w14:val="none"/>
              </w:rPr>
            </w:r>
          </w:p>
        </w:tc>
      </w:tr>
      <w:tr>
        <w:tblPrEx/>
        <w:trPr>
          <w:trHeight w:val="40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44" w:type="dxa"/>
            <w:textDirection w:val="lrTb"/>
            <w:noWrap w:val="false"/>
          </w:tcPr>
          <w:p>
            <w:pPr>
              <w:ind w:left="40" w:right="40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(подпись)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9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42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textDirection w:val="lrTb"/>
            <w:noWrap w:val="false"/>
          </w:tcPr>
          <w:p>
            <w:pPr>
              <w:ind w:left="40" w:right="4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Член комиссии: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844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96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Прозорова Л.Г.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40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44" w:type="dxa"/>
            <w:textDirection w:val="lrTb"/>
            <w:noWrap w:val="false"/>
          </w:tcPr>
          <w:p>
            <w:pPr>
              <w:ind w:left="40" w:right="40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(подпись)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96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40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Член комиссии: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2844" w:type="dxa"/>
            <w:textDirection w:val="lrTb"/>
            <w:noWrap w:val="false"/>
          </w:tcPr>
          <w:p>
            <w:pPr>
              <w:ind w:left="40" w:right="40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96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Болтовская О.В.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516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44" w:type="dxa"/>
            <w:textDirection w:val="lrTb"/>
            <w:noWrap w:val="false"/>
          </w:tcPr>
          <w:p>
            <w:pPr>
              <w:ind w:left="40" w:right="40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(подпись)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96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405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Член комиссии, в т.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ч. за секретаря: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844" w:type="dxa"/>
            <w:vMerge w:val="restart"/>
            <w:textDirection w:val="lrTb"/>
            <w:noWrap w:val="false"/>
          </w:tcPr>
          <w:p>
            <w:pPr>
              <w:ind w:left="40" w:right="40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9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widowControl w:val="off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Караева О.А.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40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44" w:type="dxa"/>
            <w:textDirection w:val="lrTb"/>
            <w:noWrap w:val="false"/>
          </w:tcPr>
          <w:p>
            <w:pPr>
              <w:ind w:left="40" w:right="40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(подпись)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96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sectPr>
      <w:footnotePr/>
      <w:endnotePr/>
      <w:type w:val="nextPage"/>
      <w:pgSz w:w="11906" w:h="16838" w:orient="portrait"/>
      <w:pgMar w:top="720" w:right="720" w:bottom="720" w:left="72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right"/>
      <w:pPr>
        <w:ind w:left="540" w:hanging="180"/>
        <w:tabs>
          <w:tab w:val="num" w:pos="54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hint="default"/>
        <w:i w:val="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color w:val="auto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7">
    <w:name w:val="Heading 1"/>
    <w:basedOn w:val="829"/>
    <w:next w:val="829"/>
    <w:link w:val="65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8">
    <w:name w:val="Heading 1 Char"/>
    <w:basedOn w:val="832"/>
    <w:link w:val="657"/>
    <w:uiPriority w:val="9"/>
    <w:rPr>
      <w:rFonts w:ascii="Arial" w:hAnsi="Arial" w:eastAsia="Arial" w:cs="Arial"/>
      <w:sz w:val="40"/>
      <w:szCs w:val="40"/>
    </w:rPr>
  </w:style>
  <w:style w:type="character" w:styleId="659">
    <w:name w:val="Heading 2 Char"/>
    <w:basedOn w:val="832"/>
    <w:link w:val="830"/>
    <w:uiPriority w:val="9"/>
    <w:rPr>
      <w:rFonts w:ascii="Arial" w:hAnsi="Arial" w:eastAsia="Arial" w:cs="Arial"/>
      <w:sz w:val="34"/>
    </w:rPr>
  </w:style>
  <w:style w:type="character" w:styleId="660">
    <w:name w:val="Heading 3 Char"/>
    <w:basedOn w:val="832"/>
    <w:link w:val="831"/>
    <w:uiPriority w:val="9"/>
    <w:rPr>
      <w:rFonts w:ascii="Arial" w:hAnsi="Arial" w:eastAsia="Arial" w:cs="Arial"/>
      <w:sz w:val="30"/>
      <w:szCs w:val="30"/>
    </w:rPr>
  </w:style>
  <w:style w:type="paragraph" w:styleId="661">
    <w:name w:val="Heading 4"/>
    <w:basedOn w:val="829"/>
    <w:next w:val="829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2">
    <w:name w:val="Heading 4 Char"/>
    <w:basedOn w:val="832"/>
    <w:link w:val="661"/>
    <w:uiPriority w:val="9"/>
    <w:rPr>
      <w:rFonts w:ascii="Arial" w:hAnsi="Arial" w:eastAsia="Arial" w:cs="Arial"/>
      <w:b/>
      <w:bCs/>
      <w:sz w:val="26"/>
      <w:szCs w:val="26"/>
    </w:rPr>
  </w:style>
  <w:style w:type="paragraph" w:styleId="663">
    <w:name w:val="Heading 5"/>
    <w:basedOn w:val="829"/>
    <w:next w:val="829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4">
    <w:name w:val="Heading 5 Char"/>
    <w:basedOn w:val="832"/>
    <w:link w:val="663"/>
    <w:uiPriority w:val="9"/>
    <w:rPr>
      <w:rFonts w:ascii="Arial" w:hAnsi="Arial" w:eastAsia="Arial" w:cs="Arial"/>
      <w:b/>
      <w:bCs/>
      <w:sz w:val="24"/>
      <w:szCs w:val="24"/>
    </w:rPr>
  </w:style>
  <w:style w:type="paragraph" w:styleId="665">
    <w:name w:val="Heading 6"/>
    <w:basedOn w:val="829"/>
    <w:next w:val="829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6">
    <w:name w:val="Heading 6 Char"/>
    <w:basedOn w:val="832"/>
    <w:link w:val="665"/>
    <w:uiPriority w:val="9"/>
    <w:rPr>
      <w:rFonts w:ascii="Arial" w:hAnsi="Arial" w:eastAsia="Arial" w:cs="Arial"/>
      <w:b/>
      <w:bCs/>
      <w:sz w:val="22"/>
      <w:szCs w:val="22"/>
    </w:rPr>
  </w:style>
  <w:style w:type="paragraph" w:styleId="667">
    <w:name w:val="Heading 7"/>
    <w:basedOn w:val="829"/>
    <w:next w:val="829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8">
    <w:name w:val="Heading 7 Char"/>
    <w:basedOn w:val="832"/>
    <w:link w:val="66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9">
    <w:name w:val="Heading 8"/>
    <w:basedOn w:val="829"/>
    <w:next w:val="829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0">
    <w:name w:val="Heading 8 Char"/>
    <w:basedOn w:val="832"/>
    <w:link w:val="669"/>
    <w:uiPriority w:val="9"/>
    <w:rPr>
      <w:rFonts w:ascii="Arial" w:hAnsi="Arial" w:eastAsia="Arial" w:cs="Arial"/>
      <w:i/>
      <w:iCs/>
      <w:sz w:val="22"/>
      <w:szCs w:val="22"/>
    </w:rPr>
  </w:style>
  <w:style w:type="paragraph" w:styleId="671">
    <w:name w:val="Heading 9"/>
    <w:basedOn w:val="829"/>
    <w:next w:val="829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>
    <w:name w:val="Heading 9 Char"/>
    <w:basedOn w:val="832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673">
    <w:name w:val="List Paragraph"/>
    <w:basedOn w:val="829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29"/>
    <w:next w:val="829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2"/>
    <w:link w:val="675"/>
    <w:uiPriority w:val="10"/>
    <w:rPr>
      <w:sz w:val="48"/>
      <w:szCs w:val="48"/>
    </w:rPr>
  </w:style>
  <w:style w:type="paragraph" w:styleId="677">
    <w:name w:val="Subtitle"/>
    <w:basedOn w:val="829"/>
    <w:next w:val="829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2"/>
    <w:link w:val="677"/>
    <w:uiPriority w:val="11"/>
    <w:rPr>
      <w:sz w:val="24"/>
      <w:szCs w:val="24"/>
    </w:rPr>
  </w:style>
  <w:style w:type="paragraph" w:styleId="679">
    <w:name w:val="Quote"/>
    <w:basedOn w:val="829"/>
    <w:next w:val="829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29"/>
    <w:next w:val="829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29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2"/>
    <w:link w:val="683"/>
    <w:uiPriority w:val="99"/>
  </w:style>
  <w:style w:type="paragraph" w:styleId="685">
    <w:name w:val="Footer"/>
    <w:basedOn w:val="829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2"/>
    <w:link w:val="685"/>
    <w:uiPriority w:val="99"/>
  </w:style>
  <w:style w:type="paragraph" w:styleId="687">
    <w:name w:val="Caption"/>
    <w:basedOn w:val="829"/>
    <w:next w:val="829"/>
    <w:link w:val="6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832"/>
    <w:link w:val="687"/>
    <w:uiPriority w:val="35"/>
    <w:rPr>
      <w:b/>
      <w:bCs/>
      <w:color w:val="4f81bd" w:themeColor="accent1"/>
      <w:sz w:val="18"/>
      <w:szCs w:val="18"/>
    </w:rPr>
  </w:style>
  <w:style w:type="table" w:styleId="689">
    <w:name w:val="Table Grid Light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Plain Table 1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4 - Accent 1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8">
    <w:name w:val="Grid Table 4 - Accent 2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9">
    <w:name w:val="Grid Table 4 - Accent 3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0">
    <w:name w:val="Grid Table 4 - Accent 4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1">
    <w:name w:val="Grid Table 4 - Accent 5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2">
    <w:name w:val="Grid Table 4 - Accent 6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3">
    <w:name w:val="Grid Table 5 Dark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1">
    <w:name w:val="Grid Table 6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2">
    <w:name w:val="Grid Table 6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3">
    <w:name w:val="Grid Table 6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4">
    <w:name w:val="Grid Table 6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5">
    <w:name w:val="Grid Table 6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6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7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2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3">
    <w:name w:val="List Table 2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4">
    <w:name w:val="List Table 2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5">
    <w:name w:val="List Table 2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6">
    <w:name w:val="List Table 2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7">
    <w:name w:val="List Table 2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8">
    <w:name w:val="List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6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6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1">
    <w:name w:val="List Table 6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List Table 6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3">
    <w:name w:val="List Table 6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List Table 6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5">
    <w:name w:val="List Table 6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6">
    <w:name w:val="List Table 7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7">
    <w:name w:val="List Table 7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8">
    <w:name w:val="List Table 7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9">
    <w:name w:val="List Table 7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0">
    <w:name w:val="List Table 7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1">
    <w:name w:val="List Table 7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2">
    <w:name w:val="List Table 7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3">
    <w:name w:val="Lined - Accent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Lined - Accent 1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Lined - Accent 2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Lined - Accent 3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Lined - Accent 4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Lined - Accent 5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Lined - Accent 6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 &amp; Lined - Accent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Bordered &amp; Lined - Accent 1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2">
    <w:name w:val="Bordered &amp; Lined - Accent 2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3">
    <w:name w:val="Bordered &amp; Lined - Accent 3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4">
    <w:name w:val="Bordered &amp; Lined - Accent 4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5">
    <w:name w:val="Bordered &amp; Lined - Accent 5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6">
    <w:name w:val="Bordered &amp; Lined - Accent 6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7">
    <w:name w:val="Bordered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8">
    <w:name w:val="Bordered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9">
    <w:name w:val="Bordered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0">
    <w:name w:val="Bordered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1">
    <w:name w:val="Bordered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2">
    <w:name w:val="Bordered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3">
    <w:name w:val="Bordered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4">
    <w:name w:val="Footnote Text Char"/>
    <w:link w:val="837"/>
    <w:uiPriority w:val="99"/>
    <w:rPr>
      <w:sz w:val="18"/>
    </w:rPr>
  </w:style>
  <w:style w:type="paragraph" w:styleId="815">
    <w:name w:val="endnote text"/>
    <w:basedOn w:val="829"/>
    <w:link w:val="816"/>
    <w:uiPriority w:val="99"/>
    <w:semiHidden/>
    <w:unhideWhenUsed/>
    <w:pPr>
      <w:spacing w:after="0" w:line="240" w:lineRule="auto"/>
    </w:pPr>
    <w:rPr>
      <w:sz w:val="20"/>
    </w:rPr>
  </w:style>
  <w:style w:type="character" w:styleId="816">
    <w:name w:val="Endnote Text Char"/>
    <w:link w:val="815"/>
    <w:uiPriority w:val="99"/>
    <w:rPr>
      <w:sz w:val="20"/>
    </w:rPr>
  </w:style>
  <w:style w:type="character" w:styleId="817">
    <w:name w:val="endnote reference"/>
    <w:basedOn w:val="832"/>
    <w:uiPriority w:val="99"/>
    <w:semiHidden/>
    <w:unhideWhenUsed/>
    <w:rPr>
      <w:vertAlign w:val="superscript"/>
    </w:rPr>
  </w:style>
  <w:style w:type="paragraph" w:styleId="818">
    <w:name w:val="toc 1"/>
    <w:basedOn w:val="829"/>
    <w:next w:val="829"/>
    <w:uiPriority w:val="39"/>
    <w:unhideWhenUsed/>
    <w:pPr>
      <w:ind w:left="0" w:right="0" w:firstLine="0"/>
      <w:spacing w:after="57"/>
    </w:pPr>
  </w:style>
  <w:style w:type="paragraph" w:styleId="819">
    <w:name w:val="toc 2"/>
    <w:basedOn w:val="829"/>
    <w:next w:val="829"/>
    <w:uiPriority w:val="39"/>
    <w:unhideWhenUsed/>
    <w:pPr>
      <w:ind w:left="283" w:right="0" w:firstLine="0"/>
      <w:spacing w:after="57"/>
    </w:pPr>
  </w:style>
  <w:style w:type="paragraph" w:styleId="820">
    <w:name w:val="toc 3"/>
    <w:basedOn w:val="829"/>
    <w:next w:val="829"/>
    <w:uiPriority w:val="39"/>
    <w:unhideWhenUsed/>
    <w:pPr>
      <w:ind w:left="567" w:right="0" w:firstLine="0"/>
      <w:spacing w:after="57"/>
    </w:pPr>
  </w:style>
  <w:style w:type="paragraph" w:styleId="821">
    <w:name w:val="toc 4"/>
    <w:basedOn w:val="829"/>
    <w:next w:val="829"/>
    <w:uiPriority w:val="39"/>
    <w:unhideWhenUsed/>
    <w:pPr>
      <w:ind w:left="850" w:right="0" w:firstLine="0"/>
      <w:spacing w:after="57"/>
    </w:pPr>
  </w:style>
  <w:style w:type="paragraph" w:styleId="822">
    <w:name w:val="toc 5"/>
    <w:basedOn w:val="829"/>
    <w:next w:val="829"/>
    <w:uiPriority w:val="39"/>
    <w:unhideWhenUsed/>
    <w:pPr>
      <w:ind w:left="1134" w:right="0" w:firstLine="0"/>
      <w:spacing w:after="57"/>
    </w:pPr>
  </w:style>
  <w:style w:type="paragraph" w:styleId="823">
    <w:name w:val="toc 6"/>
    <w:basedOn w:val="829"/>
    <w:next w:val="829"/>
    <w:uiPriority w:val="39"/>
    <w:unhideWhenUsed/>
    <w:pPr>
      <w:ind w:left="1417" w:right="0" w:firstLine="0"/>
      <w:spacing w:after="57"/>
    </w:pPr>
  </w:style>
  <w:style w:type="paragraph" w:styleId="824">
    <w:name w:val="toc 7"/>
    <w:basedOn w:val="829"/>
    <w:next w:val="829"/>
    <w:uiPriority w:val="39"/>
    <w:unhideWhenUsed/>
    <w:pPr>
      <w:ind w:left="1701" w:right="0" w:firstLine="0"/>
      <w:spacing w:after="57"/>
    </w:pPr>
  </w:style>
  <w:style w:type="paragraph" w:styleId="825">
    <w:name w:val="toc 8"/>
    <w:basedOn w:val="829"/>
    <w:next w:val="829"/>
    <w:uiPriority w:val="39"/>
    <w:unhideWhenUsed/>
    <w:pPr>
      <w:ind w:left="1984" w:right="0" w:firstLine="0"/>
      <w:spacing w:after="57"/>
    </w:pPr>
  </w:style>
  <w:style w:type="paragraph" w:styleId="826">
    <w:name w:val="toc 9"/>
    <w:basedOn w:val="829"/>
    <w:next w:val="829"/>
    <w:uiPriority w:val="39"/>
    <w:unhideWhenUsed/>
    <w:pPr>
      <w:ind w:left="2268" w:right="0" w:firstLine="0"/>
      <w:spacing w:after="57"/>
    </w:pPr>
  </w:style>
  <w:style w:type="paragraph" w:styleId="827">
    <w:name w:val="TOC Heading"/>
    <w:uiPriority w:val="39"/>
    <w:unhideWhenUsed/>
  </w:style>
  <w:style w:type="paragraph" w:styleId="828">
    <w:name w:val="table of figures"/>
    <w:basedOn w:val="829"/>
    <w:next w:val="829"/>
    <w:uiPriority w:val="99"/>
    <w:unhideWhenUsed/>
    <w:pPr>
      <w:spacing w:after="0" w:afterAutospacing="0"/>
    </w:pPr>
  </w:style>
  <w:style w:type="paragraph" w:styleId="829" w:default="1">
    <w:name w:val="Normal"/>
    <w:qFormat/>
    <w:rPr>
      <w:sz w:val="24"/>
      <w:szCs w:val="24"/>
    </w:rPr>
  </w:style>
  <w:style w:type="paragraph" w:styleId="830">
    <w:name w:val="Heading 2"/>
    <w:basedOn w:val="829"/>
    <w:next w:val="829"/>
    <w:link w:val="841"/>
    <w:qFormat/>
    <w:pPr>
      <w:keepNext/>
      <w:spacing w:before="240" w:after="60"/>
      <w:widowControl w:val="off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831">
    <w:name w:val="Heading 3"/>
    <w:basedOn w:val="82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styleId="832" w:default="1">
    <w:name w:val="Default Paragraph Font"/>
    <w:uiPriority w:val="1"/>
    <w:semiHidden/>
    <w:unhideWhenUsed/>
  </w:style>
  <w:style w:type="table" w:styleId="8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4" w:default="1">
    <w:name w:val="No List"/>
    <w:uiPriority w:val="99"/>
    <w:semiHidden/>
    <w:unhideWhenUsed/>
  </w:style>
  <w:style w:type="paragraph" w:styleId="835" w:customStyle="1">
    <w:name w:val="offset251"/>
    <w:basedOn w:val="829"/>
    <w:pPr>
      <w:ind w:left="375"/>
      <w:spacing w:before="100" w:beforeAutospacing="1" w:after="100" w:afterAutospacing="1"/>
    </w:pPr>
  </w:style>
  <w:style w:type="paragraph" w:styleId="836">
    <w:name w:val="Normal (Web)"/>
    <w:basedOn w:val="829"/>
    <w:pPr>
      <w:spacing w:before="100" w:beforeAutospacing="1" w:after="100" w:afterAutospacing="1"/>
    </w:pPr>
  </w:style>
  <w:style w:type="paragraph" w:styleId="837">
    <w:name w:val="footnote text"/>
    <w:basedOn w:val="829"/>
    <w:link w:val="839"/>
    <w:semiHidden/>
    <w:pPr>
      <w:widowControl w:val="off"/>
    </w:pPr>
    <w:rPr>
      <w:rFonts w:ascii="Arial" w:hAnsi="Arial" w:cs="Arial"/>
      <w:sz w:val="20"/>
      <w:szCs w:val="20"/>
    </w:rPr>
  </w:style>
  <w:style w:type="character" w:styleId="838">
    <w:name w:val="footnote reference"/>
    <w:semiHidden/>
    <w:rPr>
      <w:vertAlign w:val="superscript"/>
    </w:rPr>
  </w:style>
  <w:style w:type="character" w:styleId="839" w:customStyle="1">
    <w:name w:val="Текст сноски Знак1"/>
    <w:link w:val="837"/>
    <w:rPr>
      <w:rFonts w:ascii="Arial" w:hAnsi="Arial" w:cs="Arial"/>
      <w:lang w:val="ru-RU" w:eastAsia="ru-RU" w:bidi="ar-SA"/>
    </w:rPr>
  </w:style>
  <w:style w:type="paragraph" w:styleId="840" w:customStyle="1">
    <w:name w:val="ConsPlusNormal"/>
    <w:rPr>
      <w:sz w:val="24"/>
      <w:szCs w:val="24"/>
    </w:rPr>
  </w:style>
  <w:style w:type="character" w:styleId="841" w:customStyle="1">
    <w:name w:val="Заголовок 2 Знак"/>
    <w:link w:val="830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styleId="842">
    <w:name w:val="Balloon Text"/>
    <w:basedOn w:val="829"/>
    <w:semiHidden/>
    <w:rPr>
      <w:rFonts w:ascii="Tahoma" w:hAnsi="Tahoma" w:cs="Tahoma"/>
      <w:sz w:val="16"/>
      <w:szCs w:val="16"/>
    </w:rPr>
  </w:style>
  <w:style w:type="table" w:styleId="843">
    <w:name w:val="Table Grid"/>
    <w:basedOn w:val="83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4" w:customStyle="1">
    <w:name w:val="ConsNormal"/>
    <w:link w:val="845"/>
    <w:pPr>
      <w:ind w:right="19772" w:firstLine="720"/>
      <w:widowControl w:val="off"/>
    </w:pPr>
    <w:rPr>
      <w:rFonts w:ascii="Arial" w:hAnsi="Arial" w:cs="Arial"/>
      <w:sz w:val="22"/>
      <w:szCs w:val="22"/>
    </w:rPr>
  </w:style>
  <w:style w:type="character" w:styleId="845" w:customStyle="1">
    <w:name w:val="ConsNormal Знак"/>
    <w:basedOn w:val="832"/>
    <w:link w:val="844"/>
    <w:rPr>
      <w:rFonts w:ascii="Arial" w:hAnsi="Arial" w:cs="Arial"/>
      <w:sz w:val="22"/>
      <w:szCs w:val="22"/>
      <w:lang w:val="ru-RU" w:eastAsia="ru-RU" w:bidi="ar-SA"/>
    </w:rPr>
  </w:style>
  <w:style w:type="paragraph" w:styleId="846" w:customStyle="1">
    <w:name w:val="Style7"/>
    <w:basedOn w:val="829"/>
    <w:pPr>
      <w:widowControl w:val="off"/>
    </w:pPr>
  </w:style>
  <w:style w:type="character" w:styleId="847">
    <w:name w:val="Hyperlink"/>
    <w:basedOn w:val="832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mailto:koa@depfin70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Hewlett-Packard Company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Шевелева Ольга Александровна</dc:creator>
  <cp:lastModifiedBy>koa</cp:lastModifiedBy>
  <cp:revision>19</cp:revision>
  <dcterms:created xsi:type="dcterms:W3CDTF">2020-09-04T06:48:00Z</dcterms:created>
  <dcterms:modified xsi:type="dcterms:W3CDTF">2025-12-10T09:58:08Z</dcterms:modified>
</cp:coreProperties>
</file>