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924"/>
      </w:tblGrid>
      <w:tr>
        <w:tblPrEx/>
        <w:trPr>
          <w:trHeight w:val="170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51" w:type="dxa"/>
            <w:textDirection w:val="lrTb"/>
            <w:noWrap w:val="false"/>
          </w:tcPr>
          <w:p>
            <w:pPr>
              <w:pStyle w:val="911"/>
              <w:jc w:val="right"/>
              <w:tabs>
                <w:tab w:val="left" w:pos="5670" w:leader="none"/>
              </w:tabs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Приложение № 5</w:t>
            </w:r>
            <w:r>
              <w:rPr>
                <w:rFonts w:ascii="PT Astra Serif" w:hAnsi="PT Astra Serif" w:cs="Times New Roman"/>
                <w:sz w:val="24"/>
                <w:szCs w:val="24"/>
              </w:rPr>
            </w:r>
            <w:r>
              <w:rPr>
                <w:rFonts w:ascii="PT Astra Serif" w:hAnsi="PT Astra Serif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 Документации по отбору финансов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организаци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 оказание услуг по организации выпуска, размещения и обращения государственных обл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игаций Томской области 2025-2028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911"/>
              <w:jc w:val="both"/>
              <w:tabs>
                <w:tab w:val="left" w:pos="5670" w:leader="none"/>
              </w:tabs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</w:r>
            <w:r>
              <w:rPr>
                <w:rFonts w:ascii="PT Astra Serif" w:hAnsi="PT Astra Serif" w:cs="Times New Roman"/>
                <w:sz w:val="24"/>
                <w:szCs w:val="24"/>
              </w:rPr>
            </w:r>
            <w:r>
              <w:rPr>
                <w:rFonts w:ascii="PT Astra Serif" w:hAnsi="PT Astra Serif" w:cs="Times New Roman"/>
                <w:sz w:val="24"/>
                <w:szCs w:val="24"/>
              </w:rPr>
            </w:r>
          </w:p>
        </w:tc>
      </w:tr>
    </w:tbl>
    <w:p>
      <w:pPr>
        <w:pStyle w:val="911"/>
        <w:jc w:val="both"/>
        <w:tabs>
          <w:tab w:val="left" w:pos="5670" w:leader="none"/>
        </w:tabs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1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Оформляется на фирменном бланке агента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1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</w:p>
    <w:p>
      <w:pPr>
        <w:pStyle w:val="911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/>
          <w:b/>
          <w:caps/>
          <w:sz w:val="24"/>
          <w:szCs w:val="24"/>
        </w:rPr>
        <w:t xml:space="preserve">на участие в отБОРЕ</w:t>
      </w:r>
      <w:r>
        <w:rPr>
          <w:rFonts w:ascii="Times New Roman" w:hAnsi="Times New Roman"/>
          <w:b/>
          <w:caps/>
          <w:sz w:val="24"/>
          <w:szCs w:val="24"/>
        </w:rPr>
      </w:r>
      <w:r>
        <w:rPr>
          <w:rFonts w:ascii="Times New Roman" w:hAnsi="Times New Roman"/>
          <w:b/>
          <w:cap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Arial Unicode MS"/>
          <w:bCs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 xml:space="preserve">финансов</w:t>
      </w:r>
      <w:r>
        <w:rPr>
          <w:rFonts w:ascii="PT Astra Serif" w:hAnsi="PT Astra Serif"/>
          <w:sz w:val="24"/>
          <w:szCs w:val="24"/>
        </w:rPr>
        <w:t xml:space="preserve">ой</w:t>
      </w:r>
      <w:r>
        <w:rPr>
          <w:rFonts w:ascii="PT Astra Serif" w:hAnsi="PT Astra Serif"/>
          <w:sz w:val="24"/>
          <w:szCs w:val="24"/>
        </w:rPr>
        <w:t xml:space="preserve"> организаци</w:t>
      </w:r>
      <w:r>
        <w:rPr>
          <w:rFonts w:ascii="PT Astra Serif" w:hAnsi="PT Astra Serif"/>
          <w:sz w:val="24"/>
          <w:szCs w:val="24"/>
        </w:rPr>
        <w:t xml:space="preserve">и</w:t>
      </w:r>
      <w:r>
        <w:rPr>
          <w:rFonts w:ascii="PT Astra Serif" w:hAnsi="PT Astra Serif"/>
          <w:sz w:val="24"/>
          <w:szCs w:val="24"/>
        </w:rPr>
        <w:t xml:space="preserve"> на оказание услуг по организации выпуска, размещения и обращения государственных облигаций Томской области 2025-2028</w:t>
      </w:r>
      <w:r>
        <w:rPr>
          <w:rFonts w:ascii="PT Astra Serif" w:hAnsi="PT Astra Serif"/>
          <w:sz w:val="24"/>
          <w:szCs w:val="24"/>
        </w:rPr>
        <w:t xml:space="preserve"> год</w:t>
      </w:r>
      <w:r>
        <w:rPr>
          <w:rFonts w:ascii="PT Astra Serif" w:hAnsi="PT Astra Serif"/>
          <w:sz w:val="24"/>
          <w:szCs w:val="24"/>
        </w:rPr>
        <w:t xml:space="preserve">ов</w:t>
      </w:r>
      <w:r>
        <w:rPr>
          <w:rFonts w:ascii="Times New Roman" w:hAnsi="Times New Roman" w:eastAsia="Arial Unicode MS"/>
          <w:bCs/>
          <w:sz w:val="24"/>
          <w:szCs w:val="24"/>
          <w:lang w:eastAsia="ru-RU"/>
        </w:rPr>
      </w:r>
      <w:r>
        <w:rPr>
          <w:rFonts w:ascii="Times New Roman" w:hAnsi="Times New Roman" w:eastAsia="Arial Unicode MS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Arial Unicode MS"/>
          <w:bCs/>
          <w:sz w:val="24"/>
          <w:szCs w:val="24"/>
          <w:lang w:eastAsia="ru-RU"/>
        </w:rPr>
      </w:pPr>
      <w:r>
        <w:rPr>
          <w:rFonts w:ascii="Times New Roman" w:hAnsi="Times New Roman" w:eastAsia="Arial Unicode MS"/>
          <w:bCs/>
          <w:sz w:val="24"/>
          <w:szCs w:val="24"/>
          <w:lang w:eastAsia="ru-RU"/>
        </w:rPr>
      </w:r>
      <w:r>
        <w:rPr>
          <w:rFonts w:ascii="Times New Roman" w:hAnsi="Times New Roman" w:eastAsia="Arial Unicode MS"/>
          <w:bCs/>
          <w:sz w:val="24"/>
          <w:szCs w:val="24"/>
          <w:lang w:eastAsia="ru-RU"/>
        </w:rPr>
      </w:r>
      <w:r>
        <w:rPr>
          <w:rFonts w:ascii="Times New Roman" w:hAnsi="Times New Roman" w:eastAsia="Arial Unicode MS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Изучив запрос информации и документацию о закупке услуг </w:t>
      </w:r>
      <w:r>
        <w:rPr>
          <w:rFonts w:ascii="PT Astra Serif" w:hAnsi="PT Astra Serif"/>
          <w:sz w:val="24"/>
          <w:szCs w:val="24"/>
        </w:rPr>
        <w:t xml:space="preserve">по организации выпуска, размещения и обращения государственных облигаций Томской области 2025-2028</w:t>
      </w:r>
      <w:r>
        <w:rPr>
          <w:rFonts w:ascii="PT Astra Serif" w:hAnsi="PT Astra Serif"/>
          <w:sz w:val="24"/>
          <w:szCs w:val="24"/>
        </w:rPr>
        <w:t xml:space="preserve"> год</w:t>
      </w:r>
      <w:r>
        <w:rPr>
          <w:rFonts w:ascii="PT Astra Serif" w:hAnsi="PT Astra Serif"/>
          <w:sz w:val="24"/>
          <w:szCs w:val="24"/>
        </w:rPr>
        <w:t xml:space="preserve">ов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, а также законодательство о контрактной системе в сфере закупок, ____________________________________________________________________________,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  <w:t xml:space="preserve">(полное и сокращенное (при наличии) наименование агента, место нахождения, почтовый адрес)</w:t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</w:p>
    <w:p>
      <w:pPr>
        <w:jc w:val="both"/>
        <w:spacing w:after="0" w:line="240" w:lineRule="auto"/>
        <w:tabs>
          <w:tab w:val="left" w:pos="6409" w:leader="underscore"/>
          <w:tab w:val="left" w:pos="9658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в лице ______________________________________________________________________,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Arial Unicode MS"/>
          <w:i/>
          <w:sz w:val="18"/>
          <w:szCs w:val="18"/>
          <w:lang w:eastAsia="ru-RU"/>
        </w:rPr>
      </w:pPr>
      <w:r>
        <w:rPr>
          <w:rFonts w:ascii="Times New Roman" w:hAnsi="Times New Roman" w:eastAsia="Arial Unicode MS"/>
          <w:i/>
          <w:sz w:val="18"/>
          <w:szCs w:val="18"/>
          <w:lang w:eastAsia="ru-RU"/>
        </w:rPr>
        <w:t xml:space="preserve">                                       (наименование должности, Ф.И.О. руководителя, уполномоченного лица)  </w:t>
      </w:r>
      <w:r>
        <w:rPr>
          <w:rFonts w:ascii="Times New Roman" w:hAnsi="Times New Roman" w:eastAsia="Arial Unicode MS"/>
          <w:i/>
          <w:sz w:val="18"/>
          <w:szCs w:val="18"/>
          <w:lang w:eastAsia="ru-RU"/>
        </w:rPr>
      </w:r>
      <w:r>
        <w:rPr>
          <w:rFonts w:ascii="Times New Roman" w:hAnsi="Times New Roman" w:eastAsia="Arial Unicode MS"/>
          <w:i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Arial Unicode MS"/>
          <w:i/>
          <w:sz w:val="18"/>
          <w:szCs w:val="18"/>
          <w:highlight w:val="white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сообщает о согласии осуществить оказание услуг </w:t>
      </w:r>
      <w:r>
        <w:rPr>
          <w:rFonts w:ascii="PT Astra Serif" w:hAnsi="PT Astra Serif"/>
          <w:sz w:val="24"/>
          <w:szCs w:val="24"/>
        </w:rPr>
        <w:t xml:space="preserve">по организации выпуска, размещения и обращения государственных облигаций Томской области 2025-2028</w:t>
      </w:r>
      <w:r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r/>
      <w:bookmarkEnd w:id="0"/>
      <w:r>
        <w:rPr>
          <w:rFonts w:ascii="PT Astra Serif" w:hAnsi="PT Astra Serif"/>
          <w:sz w:val="24"/>
          <w:szCs w:val="24"/>
        </w:rPr>
        <w:t xml:space="preserve">год</w:t>
      </w:r>
      <w:r>
        <w:rPr>
          <w:rFonts w:ascii="PT Astra Serif" w:hAnsi="PT Astra Serif"/>
          <w:sz w:val="24"/>
          <w:szCs w:val="24"/>
        </w:rPr>
        <w:t xml:space="preserve">ов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 в полном объем</w:t>
      </w:r>
      <w:r>
        <w:rPr>
          <w:rFonts w:ascii="Times New Roman" w:hAnsi="Times New Roman" w:eastAsia="Arial Unicode MS"/>
          <w:sz w:val="24"/>
          <w:szCs w:val="24"/>
          <w:highlight w:val="white"/>
          <w:lang w:eastAsia="ru-RU"/>
        </w:rPr>
        <w:t xml:space="preserve">е</w:t>
      </w:r>
      <w:r>
        <w:rPr>
          <w:rFonts w:ascii="Times New Roman" w:hAnsi="Times New Roman" w:eastAsia="Arial Unicode MS"/>
          <w:sz w:val="24"/>
          <w:szCs w:val="24"/>
          <w:highlight w:val="white"/>
          <w:lang w:eastAsia="ru-RU"/>
        </w:rPr>
        <w:t xml:space="preserve">.</w:t>
      </w:r>
      <w:r>
        <w:rPr>
          <w:rFonts w:ascii="Times New Roman" w:hAnsi="Times New Roman" w:eastAsia="Arial Unicode MS"/>
          <w:i/>
          <w:sz w:val="18"/>
          <w:szCs w:val="18"/>
          <w:highlight w:val="white"/>
        </w:rPr>
      </w:r>
      <w:r>
        <w:rPr>
          <w:rFonts w:ascii="Times New Roman" w:hAnsi="Times New Roman" w:eastAsia="Arial Unicode MS"/>
          <w:i/>
          <w:sz w:val="18"/>
          <w:szCs w:val="18"/>
          <w:highlight w:val="white"/>
        </w:rPr>
      </w:r>
    </w:p>
    <w:p>
      <w:pPr>
        <w:jc w:val="both"/>
        <w:spacing w:after="0" w:line="240" w:lineRule="auto"/>
        <w:tabs>
          <w:tab w:val="left" w:pos="9678" w:leader="underscore"/>
        </w:tabs>
        <w:rPr>
          <w:rFonts w:ascii="Times New Roman" w:hAnsi="Times New Roman" w:eastAsia="Arial Unicode MS"/>
          <w:sz w:val="25"/>
          <w:szCs w:val="25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Настоящей заявкой декларируем, что</w:t>
      </w:r>
      <w:r>
        <w:rPr>
          <w:rFonts w:ascii="Times New Roman" w:hAnsi="Times New Roman" w:eastAsia="Arial Unicode MS"/>
          <w:sz w:val="25"/>
          <w:szCs w:val="25"/>
          <w:lang w:eastAsia="ru-RU"/>
        </w:rPr>
        <w:t xml:space="preserve">____________________________________________</w:t>
      </w:r>
      <w:r>
        <w:rPr>
          <w:rFonts w:ascii="Times New Roman" w:hAnsi="Times New Roman" w:eastAsia="Arial Unicode MS"/>
          <w:sz w:val="25"/>
          <w:szCs w:val="25"/>
          <w:lang w:eastAsia="ru-RU"/>
        </w:rPr>
      </w:r>
      <w:r>
        <w:rPr>
          <w:rFonts w:ascii="Times New Roman" w:hAnsi="Times New Roman" w:eastAsia="Arial Unicode MS"/>
          <w:sz w:val="25"/>
          <w:szCs w:val="25"/>
          <w:lang w:eastAsia="ru-RU"/>
        </w:rPr>
      </w:r>
    </w:p>
    <w:p>
      <w:pPr>
        <w:spacing w:after="0" w:line="180" w:lineRule="exact"/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pP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  <w:t xml:space="preserve">                                        (полное и сокращенное (при наличии) наименование агента, место нахождения, почтовый адрес)</w:t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</w:p>
    <w:p>
      <w:pPr>
        <w:ind w:left="20"/>
        <w:jc w:val="both"/>
        <w:spacing w:after="0" w:line="322" w:lineRule="exact"/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соответствует следующим требованиям: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numPr>
          <w:ilvl w:val="2"/>
          <w:numId w:val="9"/>
        </w:numPr>
        <w:ind w:firstLine="720"/>
        <w:jc w:val="both"/>
        <w:spacing w:after="0" w:line="240" w:lineRule="auto"/>
        <w:tabs>
          <w:tab w:val="left" w:pos="1028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закупаемых услуг, подтверждается наличием лицензии на осуществление брокерской и дилерской деятельности: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 ____ от «___» ____________ _____ г., наименование органа, выдавшего лицензию: _______________ срок действия лицензии: 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9"/>
        </w:numPr>
        <w:ind w:firstLine="720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непроведение ликвидации агента и отсутствие решения арбитражного суда о признании агента несостоятельным (банкротом) и об открытии конкурсного производства;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numPr>
          <w:ilvl w:val="2"/>
          <w:numId w:val="9"/>
        </w:num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неприостановление деятельности агента в порядке, установленном Кодексом Российской Федерации об административных правонарушениях; 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numPr>
          <w:ilvl w:val="2"/>
          <w:numId w:val="9"/>
        </w:num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отсутствие у агента недоимки по налогам, сборам, задолженности по иным обязательным платежа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агента, по данным бухгалтерской отчетности за последний отчетный период. Агент считается соответствующи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информации, предоставляемой агентом для участия в отборе, не принято;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numPr>
          <w:ilvl w:val="2"/>
          <w:numId w:val="9"/>
        </w:num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отсутствие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агента судимости за преступления в сфере экономики и (или) преступления, предусмотренные </w:t>
      </w:r>
      <w:hyperlink r:id="rId10" w:tooltip="consultantplus://offline/ref=B75EFAD976AAA814413D4FF1991D190339F5198BC4DF178970C4BE1A41A012802702FF2BF8D5B829FFc7C" w:history="1">
        <w:r>
          <w:rPr>
            <w:rFonts w:ascii="Times New Roman" w:hAnsi="Times New Roman" w:eastAsia="Arial Unicode MS"/>
            <w:color w:val="0000ff"/>
            <w:sz w:val="24"/>
            <w:szCs w:val="24"/>
            <w:u w:val="single"/>
            <w:lang w:eastAsia="ru-RU"/>
          </w:rPr>
          <w:t xml:space="preserve">статьями 289</w:t>
        </w:r>
      </w:hyperlink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, </w:t>
      </w:r>
      <w:hyperlink r:id="rId11" w:tooltip="consultantplus://offline/ref=B75EFAD976AAA814413D4FF1991D190339F5198BC4DF178970C4BE1A41A012802702FF28F8D1FBc4C" w:history="1">
        <w:r>
          <w:rPr>
            <w:rFonts w:ascii="Times New Roman" w:hAnsi="Times New Roman" w:eastAsia="Arial Unicode MS"/>
            <w:color w:val="0000ff"/>
            <w:sz w:val="24"/>
            <w:szCs w:val="24"/>
            <w:u w:val="single"/>
            <w:lang w:eastAsia="ru-RU"/>
          </w:rPr>
          <w:t xml:space="preserve">290</w:t>
        </w:r>
      </w:hyperlink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, </w:t>
      </w:r>
      <w:hyperlink r:id="rId12" w:tooltip="consultantplus://offline/ref=B75EFAD976AAA814413D4FF1991D190339F5198BC4DF178970C4BE1A41A012802702FF28F8D3FBc2C" w:history="1">
        <w:r>
          <w:rPr>
            <w:rFonts w:ascii="Times New Roman" w:hAnsi="Times New Roman" w:eastAsia="Arial Unicode MS"/>
            <w:color w:val="0000ff"/>
            <w:sz w:val="24"/>
            <w:szCs w:val="24"/>
            <w:u w:val="single"/>
            <w:lang w:eastAsia="ru-RU"/>
          </w:rPr>
          <w:t xml:space="preserve">291</w:t>
        </w:r>
      </w:hyperlink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, </w:t>
      </w:r>
      <w:hyperlink r:id="rId13" w:tooltip="consultantplus://offline/ref=B75EFAD976AAA814413D4FF1991D190339F5198BC4DF178970C4BE1A41A012802702FF28F8DCFBc6C" w:history="1">
        <w:r>
          <w:rPr>
            <w:rFonts w:ascii="Times New Roman" w:hAnsi="Times New Roman" w:eastAsia="Arial Unicode MS"/>
            <w:color w:val="0000ff"/>
            <w:sz w:val="24"/>
            <w:szCs w:val="24"/>
            <w:u w:val="single"/>
            <w:lang w:eastAsia="ru-RU"/>
          </w:rPr>
          <w:t xml:space="preserve">291.1</w:t>
        </w:r>
      </w:hyperlink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numPr>
          <w:ilvl w:val="2"/>
          <w:numId w:val="9"/>
        </w:num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участник отбора - юридическое лицо, которое в течение двух лет до момента подачи заявки на участие в отборе не было привлечено к административной ответственности за совершение административного правонарушения, предусмотренного </w:t>
      </w:r>
      <w:hyperlink r:id="rId14" w:tooltip="consultantplus://offline/ref=5BA749EBFB773E77092F1EDCEB9EC80926277F5E0F9A53849088F30E00AA8CB7A8E3E6B5D6C8yDd5C" w:history="1">
        <w:r>
          <w:rPr>
            <w:rFonts w:ascii="Times New Roman" w:hAnsi="Times New Roman"/>
            <w:color w:val="0000ff"/>
            <w:sz w:val="24"/>
            <w:szCs w:val="24"/>
            <w:lang w:eastAsia="ru-RU"/>
          </w:rPr>
          <w:t xml:space="preserve">статьей 19.28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Кодекса Российской Федерации об административных правонарушениях;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7) отсутствие обстоятельств, при которых дол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жностное лицо заказчика (руководитель заказчика, член комиссии по осуществлению закупок, руководитель контрактной службы заказчика, контрактный управляющий), его супруг (супруга), близкий родственник по прямой восходящей или нисходящей линии (отец, мать, д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едушка, бабушка, сын, дочь, внук, внучка), полнородный или неполнородный (имеющий общих с должностным лицом заказчика отца или мать) брат (сестра), лицо, усыновленное должностным лицом заказчика, либо усыновитель этого должностного лица заказчика является: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а) физическим лицом (в том числе зарегистрированным в качестве индивидуального предпринимателя), являющимся участником отбора;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б) руководителем, единоличным исполнительным органом, членом коллегиального исполнительного органа, учредителем, членом коллегиального органа унитарной организации, являющейся участником отбора;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в) единоличным исполнительным органом, членом коллегиального исполнительного органа, членом коллегиального органа управлени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я, выгодоприобретателем корпоративного юридического лица, являющегося участником закупки. Выгодоприобретателем является физическое лицо, которое владеет напрямую или косвенно (через юридическое лицо или через несколько юридических лиц) более чем десятью пр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оцентами голосующих акций хозяйственного общества либо владеет напрямую или косвенно (через юридическое лицо или через несколько юридических лиц) долей, превышающей десять процентов в уставном (складочном) капитале хозяйственного товарищества или общества;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8) участник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 отбора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9) участник отбора не является иностранным агентом;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10) отсутствие у участника отбора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11) отсутствие в реестре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 недобросовестных поставщиков (подрядчиков, исполнителей) информации об агенте,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агента - юридического лица.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ind w:firstLine="700"/>
        <w:jc w:val="both"/>
        <w:spacing w:after="0" w:line="240" w:lineRule="auto"/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Неотъемлемой частью нашей заявки являются сведения, представленные в приложении к заявке на участие в отборе.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8890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ФИО, должность контактного лица:</w:t>
      </w:r>
      <w:r>
        <w:rPr>
          <w:rFonts w:ascii="Times New Roman" w:hAnsi="Times New Roman" w:eastAsia="Arial Unicode MS"/>
          <w:sz w:val="24"/>
          <w:szCs w:val="24"/>
          <w:lang w:eastAsia="ru-RU"/>
        </w:rPr>
        <w:tab/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8636" w:leader="underscore"/>
          <w:tab w:val="left" w:pos="8785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Номер контактного телефона: ________________________________________________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6092" w:leader="underscore"/>
          <w:tab w:val="left" w:pos="9342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6092" w:leader="underscore"/>
          <w:tab w:val="left" w:pos="9342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6092" w:leader="underscore"/>
          <w:tab w:val="left" w:pos="9342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6092" w:leader="underscore"/>
          <w:tab w:val="left" w:pos="9342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6092" w:leader="underscore"/>
          <w:tab w:val="left" w:pos="9342" w:leader="underscore"/>
        </w:tabs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  <w:t xml:space="preserve">Руководитель организации _____________________ (____________________________)</w:t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p>
      <w:pPr>
        <w:spacing w:after="0" w:line="240" w:lineRule="auto"/>
        <w:tabs>
          <w:tab w:val="left" w:pos="4393" w:leader="none"/>
          <w:tab w:val="left" w:pos="6994" w:leader="none"/>
        </w:tabs>
        <w:rPr>
          <w:rFonts w:ascii="Times New Roman" w:hAnsi="Times New Roman" w:eastAsia="Arial Unicode MS"/>
          <w:sz w:val="18"/>
          <w:szCs w:val="18"/>
          <w:lang w:eastAsia="ru-RU"/>
        </w:rPr>
      </w:pPr>
      <w:r>
        <w:rPr>
          <w:rFonts w:ascii="Times New Roman" w:hAnsi="Times New Roman" w:eastAsia="Arial Unicode MS"/>
          <w:sz w:val="18"/>
          <w:szCs w:val="18"/>
          <w:lang w:eastAsia="ru-RU"/>
        </w:rPr>
        <w:t xml:space="preserve">       (уполномоченное лицо)                    (подпись)</w:t>
      </w:r>
      <w:r>
        <w:rPr>
          <w:rFonts w:ascii="Times New Roman" w:hAnsi="Times New Roman" w:eastAsia="Arial Unicode MS"/>
          <w:sz w:val="18"/>
          <w:szCs w:val="18"/>
          <w:lang w:eastAsia="ru-RU"/>
        </w:rPr>
        <w:tab/>
        <w:t xml:space="preserve">                                          (Ф.И.О.)</w:t>
      </w:r>
      <w:r>
        <w:rPr>
          <w:rFonts w:ascii="Times New Roman" w:hAnsi="Times New Roman" w:eastAsia="Arial Unicode MS"/>
          <w:sz w:val="18"/>
          <w:szCs w:val="18"/>
          <w:lang w:eastAsia="ru-RU"/>
        </w:rPr>
      </w:r>
      <w:r>
        <w:rPr>
          <w:rFonts w:ascii="Times New Roman" w:hAnsi="Times New Roman" w:eastAsia="Arial Unicode MS"/>
          <w:sz w:val="18"/>
          <w:szCs w:val="18"/>
          <w:lang w:eastAsia="ru-RU"/>
        </w:rPr>
      </w:r>
    </w:p>
    <w:p>
      <w:pPr>
        <w:ind w:left="5620"/>
        <w:spacing w:after="0" w:line="180" w:lineRule="exact"/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pPr>
      <w:r>
        <w:rPr>
          <w:rFonts w:ascii="Times New Roman" w:hAnsi="Times New Roman" w:eastAsia="Arial Unicode MS"/>
          <w:sz w:val="18"/>
          <w:szCs w:val="18"/>
          <w:lang w:eastAsia="ru-RU"/>
        </w:rPr>
        <w:t xml:space="preserve">М.П.</w:t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</w:p>
    <w:p>
      <w:pPr>
        <w:spacing w:after="0" w:line="180" w:lineRule="exact"/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  <w:sectPr>
          <w:footnotePr/>
          <w:endnotePr/>
          <w:type w:val="nextColumn"/>
          <w:pgSz w:w="11905" w:h="16837" w:orient="portrait"/>
          <w:pgMar w:top="1134" w:right="851" w:bottom="1134" w:left="1276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  <w:t xml:space="preserve">                                                                                                                      (при наличии)</w:t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  <w:r>
        <w:rPr>
          <w:rFonts w:ascii="Times New Roman" w:hAnsi="Times New Roman" w:eastAsia="Arial Unicode MS"/>
          <w:i/>
          <w:iCs/>
          <w:sz w:val="18"/>
          <w:szCs w:val="18"/>
          <w:lang w:eastAsia="ru-RU"/>
        </w:rPr>
      </w:r>
    </w:p>
    <w:p>
      <w:pPr>
        <w:ind w:firstLine="720"/>
        <w:jc w:val="right"/>
        <w:spacing w:after="0" w:line="240" w:lineRule="auto"/>
        <w:widowControl w:val="off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</w:r>
      <w:r>
        <w:rPr>
          <w:rFonts w:ascii="PT Astra Serif" w:hAnsi="PT Astra Serif"/>
          <w:b/>
          <w:bCs/>
          <w:sz w:val="24"/>
          <w:szCs w:val="24"/>
        </w:rPr>
      </w:r>
      <w:r>
        <w:rPr>
          <w:rFonts w:ascii="PT Astra Serif" w:hAnsi="PT Astra Serif"/>
          <w:b/>
          <w:bCs/>
          <w:sz w:val="24"/>
          <w:szCs w:val="24"/>
        </w:rPr>
      </w:r>
    </w:p>
    <w:p>
      <w:pPr>
        <w:ind w:firstLine="720"/>
        <w:jc w:val="right"/>
        <w:spacing w:after="0" w:line="240" w:lineRule="auto"/>
        <w:widowControl w:val="off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 xml:space="preserve">       </w:t>
      </w:r>
      <w:r>
        <w:rPr>
          <w:rFonts w:ascii="PT Astra Serif" w:hAnsi="PT Astra Serif"/>
          <w:bCs/>
          <w:sz w:val="24"/>
          <w:szCs w:val="24"/>
        </w:rPr>
        <w:t xml:space="preserve">Форма приложения 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</w:r>
      <w:r>
        <w:rPr>
          <w:rFonts w:ascii="PT Astra Serif" w:hAnsi="PT Astra Serif"/>
          <w:bCs/>
          <w:sz w:val="24"/>
          <w:szCs w:val="24"/>
        </w:rPr>
      </w:r>
    </w:p>
    <w:p>
      <w:pPr>
        <w:ind w:firstLine="720"/>
        <w:jc w:val="right"/>
        <w:spacing w:after="0" w:line="240" w:lineRule="auto"/>
        <w:widowControl w:val="off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     к заявке на участие в отборе</w:t>
      </w:r>
      <w:r>
        <w:rPr>
          <w:rFonts w:ascii="PT Astra Serif" w:hAnsi="PT Astra Serif"/>
          <w:bCs/>
          <w:sz w:val="24"/>
          <w:szCs w:val="24"/>
        </w:rPr>
      </w:r>
      <w:r>
        <w:rPr>
          <w:rFonts w:ascii="PT Astra Serif" w:hAnsi="PT Astra Serif"/>
          <w:bCs/>
          <w:sz w:val="24"/>
          <w:szCs w:val="24"/>
        </w:rPr>
      </w:r>
    </w:p>
    <w:p>
      <w:pPr>
        <w:ind w:firstLine="720"/>
        <w:jc w:val="right"/>
        <w:widowControl w:val="off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</w:r>
      <w:r>
        <w:rPr>
          <w:rFonts w:ascii="PT Astra Serif" w:hAnsi="PT Astra Serif"/>
          <w:b/>
          <w:bCs/>
          <w:sz w:val="24"/>
          <w:szCs w:val="24"/>
        </w:rPr>
      </w:r>
      <w:r>
        <w:rPr>
          <w:rFonts w:ascii="PT Astra Serif" w:hAnsi="PT Astra Serif"/>
          <w:b/>
          <w:bCs/>
          <w:sz w:val="24"/>
          <w:szCs w:val="24"/>
        </w:rPr>
      </w:r>
    </w:p>
    <w:p>
      <w:pPr>
        <w:numPr>
          <w:ilvl w:val="0"/>
          <w:numId w:val="10"/>
        </w:numPr>
        <w:ind w:left="284" w:firstLine="0"/>
        <w:jc w:val="center"/>
        <w:spacing w:after="0" w:line="240" w:lineRule="auto"/>
        <w:widowControl w:val="off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Информация для проведения оценки заявки на участие в отборе </w:t>
      </w:r>
      <w:r>
        <w:rPr>
          <w:rFonts w:ascii="PT Astra Serif" w:hAnsi="PT Astra Serif"/>
          <w:bCs/>
          <w:sz w:val="24"/>
          <w:szCs w:val="24"/>
        </w:rPr>
      </w:r>
      <w:r>
        <w:rPr>
          <w:rFonts w:ascii="PT Astra Serif" w:hAnsi="PT Astra Serif"/>
          <w:bCs/>
          <w:sz w:val="24"/>
          <w:szCs w:val="24"/>
        </w:rPr>
      </w:r>
    </w:p>
    <w:p>
      <w:pPr>
        <w:ind w:left="284"/>
        <w:spacing w:after="0" w:line="240" w:lineRule="auto"/>
        <w:widowControl w:val="off"/>
        <w:rPr>
          <w:rFonts w:ascii="PT Astra Serif" w:hAnsi="PT Astra Serif"/>
          <w:bCs/>
          <w:sz w:val="24"/>
          <w:szCs w:val="24"/>
          <w:highlight w:val="green"/>
        </w:rPr>
      </w:pPr>
      <w:r>
        <w:rPr>
          <w:rFonts w:ascii="PT Astra Serif" w:hAnsi="PT Astra Serif"/>
          <w:bCs/>
          <w:sz w:val="24"/>
          <w:szCs w:val="24"/>
          <w:highlight w:val="green"/>
        </w:rPr>
      </w:r>
      <w:r>
        <w:rPr>
          <w:rFonts w:ascii="PT Astra Serif" w:hAnsi="PT Astra Serif"/>
          <w:bCs/>
          <w:sz w:val="24"/>
          <w:szCs w:val="24"/>
          <w:highlight w:val="green"/>
        </w:rPr>
      </w:r>
      <w:r>
        <w:rPr>
          <w:rFonts w:ascii="PT Astra Serif" w:hAnsi="PT Astra Serif"/>
          <w:bCs/>
          <w:sz w:val="24"/>
          <w:szCs w:val="24"/>
          <w:highlight w:val="green"/>
        </w:rPr>
      </w:r>
    </w:p>
    <w:tbl>
      <w:tblPr>
        <w:tblW w:w="10348" w:type="dxa"/>
        <w:tblBorders>
          <w:top w:val="single" w:color="auto" w:sz="4" w:space="0"/>
          <w:left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67"/>
        <w:gridCol w:w="2474"/>
        <w:gridCol w:w="4369"/>
        <w:gridCol w:w="1484"/>
        <w:gridCol w:w="10"/>
        <w:gridCol w:w="1444"/>
      </w:tblGrid>
      <w:tr>
        <w:tblPrEx/>
        <w:trPr>
          <w:trHeight w:val="1124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pStyle w:val="748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№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pStyle w:val="748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п/п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W w:w="2474" w:type="dxa"/>
            <w:vAlign w:val="center"/>
            <w:textDirection w:val="lrTb"/>
            <w:noWrap w:val="false"/>
          </w:tcPr>
          <w:p>
            <w:pPr>
              <w:pStyle w:val="748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Наименование критерия (Ki)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W w:w="4369" w:type="dxa"/>
            <w:vAlign w:val="center"/>
            <w:textDirection w:val="lrTb"/>
            <w:noWrap w:val="false"/>
          </w:tcPr>
          <w:p>
            <w:pPr>
              <w:pStyle w:val="748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Показатели критерия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shd w:val="clear" w:color="auto" w:fill="auto"/>
            <w:tcW w:w="1494" w:type="dxa"/>
            <w:vAlign w:val="center"/>
            <w:textDirection w:val="lrTb"/>
            <w:noWrap w:val="false"/>
          </w:tcPr>
          <w:p>
            <w:pPr>
              <w:pStyle w:val="748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Значение показателя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W w:w="1444" w:type="dxa"/>
            <w:vAlign w:val="center"/>
            <w:textDirection w:val="lrTb"/>
            <w:noWrap w:val="false"/>
          </w:tcPr>
          <w:p>
            <w:pPr>
              <w:pStyle w:val="748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Единица измерения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cantSplit/>
          <w:tblHeader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2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9" w:type="dxa"/>
            <w:textDirection w:val="lrTb"/>
            <w:noWrap w:val="false"/>
          </w:tcPr>
          <w:p>
            <w:pPr>
              <w:ind w:left="102"/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3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62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74" w:type="dxa"/>
            <w:vAlign w:val="center"/>
            <w:vMerge w:val="restart"/>
            <w:textDirection w:val="lrTb"/>
            <w:noWrap w:val="false"/>
          </w:tcPr>
          <w:p>
            <w:pPr>
              <w:pStyle w:val="748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Опыт размещения облигаций на российском рынке капитала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9" w:type="dxa"/>
            <w:vAlign w:val="center"/>
            <w:textDirection w:val="lrTb"/>
            <w:noWrap w:val="false"/>
          </w:tcPr>
          <w:p>
            <w:pPr>
              <w:jc w:val="center"/>
              <w:spacing w:after="1" w:line="200" w:lineRule="atLeast"/>
              <w:rPr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  <w:t xml:space="preserve">Показатель 1.1: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spacing w:after="1" w:line="200" w:lineRule="atLeast"/>
              <w:rPr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spacing w:after="1" w:line="200" w:lineRule="atLeast"/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  <w:t xml:space="preserve">Количество эмиссий облигаций  российских государственных, муниципальных и корпоративных заемщиков (штук) за 2024 год на основании рэнкингов организаторов (рыночные выпуски, без учета собственных) информационной системы «Cbonds» в сети Интернет: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1" w:line="200" w:lineRule="atLeast"/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1" w:line="200" w:lineRule="atLeast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  <w:t xml:space="preserve">https://cbonds.ru/rankings/1089/3783/ 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штук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89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74" w:type="dxa"/>
            <w:vAlign w:val="center"/>
            <w:vMerge w:val="continue"/>
            <w:textDirection w:val="lrTb"/>
            <w:noWrap w:val="false"/>
          </w:tcPr>
          <w:p>
            <w:pPr>
              <w:pStyle w:val="7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9" w:type="dxa"/>
            <w:vAlign w:val="center"/>
            <w:textDirection w:val="lrTb"/>
            <w:noWrap w:val="false"/>
          </w:tcPr>
          <w:p>
            <w:pPr>
              <w:jc w:val="center"/>
              <w:spacing w:after="1" w:line="200" w:lineRule="atLeast"/>
              <w:rPr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Показатель 1.2.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spacing w:after="1" w:line="200" w:lineRule="atLeast"/>
              <w:rPr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spacing w:after="1" w:line="200" w:lineRule="atLeast"/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Количество эмиссий облигаций российских субфедеральных и муниципальных заемщиков (штук), организатором которых выступил агент в 2024 году на основании рэнкинга организаторов субфедеральных и муниципальных выпусков информационной системы «Cbonds» в сети Инте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рнет: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1" w:line="200" w:lineRule="atLeast"/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1" w:line="200" w:lineRule="atLeast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https://cbonds.ru/rankings/1089/3803/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штук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69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2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74" w:type="dxa"/>
            <w:vAlign w:val="center"/>
            <w:vMerge w:val="restart"/>
            <w:textDirection w:val="lrTb"/>
            <w:noWrap w:val="false"/>
          </w:tcPr>
          <w:p>
            <w:pPr>
              <w:pStyle w:val="748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Позиции агента на российском рынке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none"/>
              </w:rPr>
              <w:t xml:space="preserve">Показатель 2.1.</w:t>
            </w: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  <w:t xml:space="preserve">Доля рынка, занимаемого агентом за 2024 год (процент) на основании рэнкинга организаторов (рыночные выпуски) информационной системы «Cbonds» в сети Интернет: </w:t>
            </w: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  <w:t xml:space="preserve">https://cbonds.ru/rankings/1089/3781/ </w:t>
            </w: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Arial Unicode MS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%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68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Показатель 2.2. </w:t>
            </w:r>
            <w:r>
              <w:rPr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Доля рынка, занимаемого агентом за 2024 год (процент) на основании рэнкинга организаторов субфедеральных и муниципальных выпусков информационной системы «Cbonds» в сети Интернет: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https://cbonds.ru/rankings/1089/3803/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5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%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3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Размер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вознаграждения, запрашиваемый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z w:val="32"/>
                <w:szCs w:val="32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Предлагаемый размер вознаграждения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агента. Объем размещения облигаций Томской области 30,0 млрд. рублей</w:t>
            </w:r>
            <w:r>
              <w:rPr>
                <w:rFonts w:ascii="PT Astra Serif" w:hAnsi="PT Astra Serif"/>
                <w:sz w:val="32"/>
                <w:szCs w:val="32"/>
                <w:highlight w:val="white"/>
              </w:rPr>
            </w:r>
            <w:r>
              <w:rPr>
                <w:rFonts w:ascii="PT Astra Serif" w:hAnsi="PT Astra Serif"/>
                <w:sz w:val="32"/>
                <w:szCs w:val="32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руб.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  <w:lang w:eastAsia="ru-RU"/>
              </w:rPr>
              <w:t xml:space="preserve">4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Деловая репутация агента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9" w:type="dxa"/>
            <w:vAlign w:val="center"/>
            <w:textDirection w:val="lrTb"/>
            <w:noWrap w:val="false"/>
          </w:tcPr>
          <w:p>
            <w:pPr>
              <w:jc w:val="center"/>
              <w:spacing w:after="1" w:line="200" w:lineRule="atLeast"/>
              <w:rPr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  <w:t xml:space="preserve">Наличие наград премии «Cbonds Awards», полученных агентом в  2024 году в соответствии с данными информационной системы «Cbonds» в сети Интернет: 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center"/>
              <w:spacing w:after="1" w:line="200" w:lineRule="atLeast"/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  <w:t xml:space="preserve">https://cbonds.ru/awards/</w:t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Cs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  <w:lang w:eastAsia="ru-RU"/>
              </w:rPr>
              <w:t xml:space="preserve">шт.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sz w:val="24"/>
          <w:szCs w:val="24"/>
          <w:highlight w:val="green"/>
        </w:rPr>
      </w:pPr>
      <w:r>
        <w:rPr>
          <w:rFonts w:ascii="PT Astra Serif" w:hAnsi="PT Astra Serif"/>
          <w:sz w:val="24"/>
          <w:szCs w:val="24"/>
          <w:highlight w:val="green"/>
        </w:rPr>
      </w:r>
      <w:r>
        <w:rPr>
          <w:rFonts w:ascii="PT Astra Serif" w:hAnsi="PT Astra Serif"/>
          <w:sz w:val="24"/>
          <w:szCs w:val="24"/>
          <w:highlight w:val="green"/>
        </w:rPr>
      </w:r>
      <w:r>
        <w:rPr>
          <w:rFonts w:ascii="PT Astra Serif" w:hAnsi="PT Astra Serif"/>
          <w:sz w:val="24"/>
          <w:szCs w:val="24"/>
          <w:highlight w:val="green"/>
        </w:rPr>
      </w:r>
    </w:p>
    <w:p>
      <w:pPr>
        <w:pStyle w:val="911"/>
        <w:numPr>
          <w:ilvl w:val="0"/>
          <w:numId w:val="10"/>
        </w:numPr>
        <w:ind w:left="426" w:firstLine="0"/>
        <w:jc w:val="center"/>
        <w:widowControl w:val="off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Стратегия подготовки и реализации размещения облигаций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1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Настоящим_______________________________________________________       </w:t>
      </w:r>
      <w:r>
        <w:rPr>
          <w:rFonts w:ascii="PT Astra Serif" w:hAnsi="PT Astra Serif" w:cs="Times New Roman"/>
          <w:color w:val="ffffff"/>
          <w:sz w:val="24"/>
          <w:szCs w:val="24"/>
        </w:rPr>
        <w:t xml:space="preserve">       -----------                                              ------</w:t>
      </w:r>
      <w:r>
        <w:rPr>
          <w:rFonts w:ascii="PT Astra Serif" w:hAnsi="PT Astra Serif" w:cs="Times New Roman"/>
          <w:sz w:val="24"/>
          <w:szCs w:val="24"/>
        </w:rPr>
        <w:t xml:space="preserve">(фирменное наименование агента, место нахождения, почтовый адрес)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лице_______________________________________________________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         (наименование должности, Ф.И.О. руководителя, уполномоченного лица)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предлагает следующую стратегию подготовки и реализации размещения государственных облигаций Томской области: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Указывается: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а) перечень необходимых мероприятий и сроки их реализации;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б) предложения по проведению маркетинговой кампании среди широкого круга инвесторов, включая план презентаций для инвесторов; 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  <w:highlight w:val="none"/>
        </w:rPr>
      </w:pPr>
      <w:r>
        <w:rPr>
          <w:rFonts w:ascii="PT Astra Serif" w:hAnsi="PT Astra Serif" w:cs="Times New Roman"/>
          <w:sz w:val="24"/>
          <w:szCs w:val="24"/>
        </w:rPr>
        <w:t xml:space="preserve">в) обзор текущего рынка субфедеральных заимствований, включая информацию о последних сделках первичного размещения и иная информация в соответствии с критериями отбора.</w:t>
      </w:r>
      <w:r>
        <w:rPr>
          <w:rFonts w:ascii="PT Astra Serif" w:hAnsi="PT Astra Serif" w:cs="Times New Roman"/>
          <w:sz w:val="24"/>
          <w:szCs w:val="24"/>
          <w:highlight w:val="none"/>
        </w:rPr>
      </w:r>
      <w:r>
        <w:rPr>
          <w:rFonts w:ascii="PT Astra Serif" w:hAnsi="PT Astra Serif" w:cs="Times New Roman"/>
          <w:sz w:val="24"/>
          <w:szCs w:val="24"/>
          <w:highlight w:val="none"/>
        </w:rPr>
      </w:r>
    </w:p>
    <w:p>
      <w:pPr>
        <w:pStyle w:val="919"/>
        <w:ind w:left="20" w:firstLine="0"/>
        <w:spacing w:after="15" w:line="250" w:lineRule="exact"/>
        <w:shd w:val="clear" w:color="auto" w:fill="auto"/>
        <w:tabs>
          <w:tab w:val="left" w:pos="6092" w:leader="underscore"/>
          <w:tab w:val="left" w:pos="9342" w:leader="underscore"/>
        </w:tabs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</w:r>
      <w:r>
        <w:rPr>
          <w:rFonts w:ascii="PT Astra Serif" w:hAnsi="PT Astra Serif"/>
          <w:sz w:val="24"/>
          <w:szCs w:val="24"/>
          <w:lang w:val="ru-RU"/>
        </w:rPr>
      </w:r>
      <w:r>
        <w:rPr>
          <w:rFonts w:ascii="PT Astra Serif" w:hAnsi="PT Astra Serif"/>
          <w:sz w:val="24"/>
          <w:szCs w:val="24"/>
          <w:lang w:val="ru-RU"/>
        </w:rPr>
      </w:r>
    </w:p>
    <w:p>
      <w:pPr>
        <w:pStyle w:val="919"/>
        <w:ind w:left="20" w:firstLine="0"/>
        <w:spacing w:after="0" w:line="240" w:lineRule="auto"/>
        <w:shd w:val="clear" w:color="auto" w:fill="auto"/>
        <w:tabs>
          <w:tab w:val="left" w:pos="6092" w:leader="underscore"/>
          <w:tab w:val="left" w:pos="9342" w:leader="underscore"/>
        </w:tabs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Руководитель организации</w:t>
      </w:r>
      <w:r>
        <w:rPr>
          <w:rFonts w:ascii="PT Astra Serif" w:hAnsi="PT Astra Serif"/>
          <w:sz w:val="24"/>
          <w:szCs w:val="24"/>
          <w:lang w:val="ru-RU"/>
        </w:rPr>
        <w:tab/>
        <w:t xml:space="preserve">(___________________)</w:t>
      </w:r>
      <w:r>
        <w:rPr>
          <w:rFonts w:ascii="PT Astra Serif" w:hAnsi="PT Astra Serif"/>
          <w:sz w:val="24"/>
          <w:szCs w:val="24"/>
          <w:lang w:val="ru-RU"/>
        </w:rPr>
      </w:r>
      <w:r>
        <w:rPr>
          <w:rFonts w:ascii="PT Astra Serif" w:hAnsi="PT Astra Serif"/>
          <w:sz w:val="24"/>
          <w:szCs w:val="24"/>
          <w:lang w:val="ru-RU"/>
        </w:rPr>
      </w:r>
    </w:p>
    <w:p>
      <w:pPr>
        <w:pStyle w:val="922"/>
        <w:ind w:left="20" w:firstLine="0"/>
        <w:jc w:val="left"/>
        <w:spacing w:line="240" w:lineRule="auto"/>
        <w:shd w:val="clear" w:color="auto" w:fill="auto"/>
        <w:tabs>
          <w:tab w:val="left" w:pos="4393" w:leader="none"/>
          <w:tab w:val="left" w:pos="6994" w:leader="none"/>
        </w:tabs>
        <w:rPr>
          <w:rFonts w:ascii="PT Astra Serif" w:hAnsi="PT Astra Serif"/>
          <w:sz w:val="24"/>
          <w:szCs w:val="24"/>
          <w:lang w:val="ru-RU"/>
        </w:rPr>
      </w:pPr>
      <w:r>
        <w:rPr>
          <w:rFonts w:ascii="PT Astra Serif" w:hAnsi="PT Astra Serif"/>
          <w:sz w:val="24"/>
          <w:szCs w:val="24"/>
          <w:lang w:val="ru-RU"/>
        </w:rPr>
        <w:t xml:space="preserve">      (уполномоченное лицо)</w:t>
      </w:r>
      <w:r>
        <w:rPr>
          <w:rFonts w:ascii="PT Astra Serif" w:hAnsi="PT Astra Serif"/>
          <w:sz w:val="24"/>
          <w:szCs w:val="24"/>
          <w:lang w:val="ru-RU"/>
        </w:rPr>
        <w:tab/>
        <w:t xml:space="preserve">(подпись)</w:t>
      </w:r>
      <w:r>
        <w:rPr>
          <w:rFonts w:ascii="PT Astra Serif" w:hAnsi="PT Astra Serif"/>
          <w:sz w:val="24"/>
          <w:szCs w:val="24"/>
          <w:lang w:val="ru-RU"/>
        </w:rPr>
        <w:tab/>
        <w:t xml:space="preserve">(Ф.И.О.)</w:t>
      </w:r>
      <w:r>
        <w:rPr>
          <w:rFonts w:ascii="PT Astra Serif" w:hAnsi="PT Astra Serif"/>
          <w:sz w:val="24"/>
          <w:szCs w:val="24"/>
          <w:lang w:val="ru-RU"/>
        </w:rPr>
      </w:r>
      <w:r>
        <w:rPr>
          <w:rFonts w:ascii="PT Astra Serif" w:hAnsi="PT Astra Serif"/>
          <w:sz w:val="24"/>
          <w:szCs w:val="24"/>
          <w:lang w:val="ru-RU"/>
        </w:rPr>
      </w:r>
    </w:p>
    <w:p>
      <w:pPr>
        <w:pStyle w:val="9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Style w:val="931"/>
          <w:rFonts w:ascii="PT Astra Serif" w:hAnsi="PT Astra Serif"/>
          <w:i w:val="0"/>
          <w:iCs w:val="0"/>
          <w:sz w:val="24"/>
          <w:szCs w:val="24"/>
        </w:rPr>
        <w:t xml:space="preserve">                                                                                            М.П.</w:t>
      </w:r>
      <w:r>
        <w:rPr>
          <w:rFonts w:ascii="PT Astra Serif" w:hAnsi="PT Astra Serif" w:cs="Times New Roman"/>
          <w:sz w:val="24"/>
          <w:szCs w:val="24"/>
        </w:rPr>
        <w:t xml:space="preserve"> (при наличии для юридического лица)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1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1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911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Примечание. Инструкция по заполнению: Агент при описании стратегии должен представить перечень необходимых мероприятий и сроки их реализации; предложения по проведению маркетинговой кампании среди широкого круга инвесторов, вкл</w:t>
      </w:r>
      <w:r>
        <w:rPr>
          <w:rFonts w:ascii="PT Astra Serif" w:hAnsi="PT Astra Serif" w:cs="Times New Roman"/>
          <w:sz w:val="24"/>
          <w:szCs w:val="24"/>
        </w:rPr>
        <w:t xml:space="preserve">ючая план презентаций для инвесторов; обзор текущего рынка субфедеральных заимствований, включая информацию о последних сделках первичного размещения. Информация может представляться в любой печатной форме, в том числе в качестве приложения к данной Форме.</w:t>
      </w: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</w:p>
    <w:p>
      <w:pPr>
        <w:ind w:left="284"/>
        <w:jc w:val="center"/>
        <w:spacing w:after="0" w:line="240" w:lineRule="auto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11"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  <w:r>
        <w:rPr>
          <w:rFonts w:ascii="PT Astra Serif" w:hAnsi="PT Astra Serif" w:cs="Times New Roman"/>
          <w:b/>
          <w:sz w:val="24"/>
          <w:szCs w:val="24"/>
        </w:rPr>
      </w:r>
    </w:p>
    <w:p>
      <w:pPr>
        <w:ind w:left="7080"/>
        <w:jc w:val="center"/>
        <w:spacing w:after="2" w:line="250" w:lineRule="exact"/>
        <w:rPr>
          <w:rFonts w:ascii="Times New Roman" w:hAnsi="Times New Roman" w:eastAsia="Arial Unicode MS"/>
          <w:sz w:val="24"/>
          <w:szCs w:val="24"/>
          <w:lang w:eastAsia="ru-RU"/>
        </w:rPr>
      </w:pP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  <w:r>
        <w:rPr>
          <w:rFonts w:ascii="Times New Roman" w:hAnsi="Times New Roman" w:eastAsia="Arial Unicode MS"/>
          <w:sz w:val="24"/>
          <w:szCs w:val="24"/>
          <w:lang w:eastAsia="ru-RU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567" w:bottom="1134" w:left="1134" w:header="56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Arial Unicode MS">
    <w:panose1 w:val="020B050602020302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5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45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1">
      <w:start w:val="8"/>
      <w:numFmt w:val="decimal"/>
      <w:isLgl w:val="false"/>
      <w:suff w:val="tab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2">
      <w:start w:val="1"/>
      <w:numFmt w:val="decimal"/>
      <w:isLgl w:val="false"/>
      <w:suff w:val="tab"/>
      <w:lvlText w:val="%3)"/>
      <w:lvlJc w:val="left"/>
      <w:pPr>
        <w:ind w:left="71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3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4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5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6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7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8">
      <w:start w:val="1"/>
      <w:numFmt w:val="decimal"/>
      <w:isLgl w:val="false"/>
      <w:suff w:val="tab"/>
      <w:lvlText w:val="%3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25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7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9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1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3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5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7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9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64" w:hanging="72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1">
      <w:start w:val="8"/>
      <w:numFmt w:val="decimal"/>
      <w:isLgl w:val="false"/>
      <w:suff w:val="tab"/>
      <w:lvlText w:val="%2."/>
      <w:lvlJc w:val="left"/>
      <w:pPr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2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3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4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5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6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7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  <w:lvl w:ilvl="8">
      <w:start w:val="1"/>
      <w:numFmt w:val="decimal"/>
      <w:isLgl w:val="false"/>
      <w:suff w:val="tab"/>
      <w:lvlText w:val="%3)"/>
      <w:lvlJc w:val="left"/>
      <w:pPr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64" w:hanging="720"/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  <w:lvlOverride w:ilvl="0">
      <w:startOverride w:val="5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0">
    <w:name w:val="Heading 1"/>
    <w:basedOn w:val="719"/>
    <w:next w:val="719"/>
    <w:link w:val="73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1">
    <w:name w:val="Heading 2"/>
    <w:basedOn w:val="719"/>
    <w:next w:val="719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2">
    <w:name w:val="Heading 3"/>
    <w:basedOn w:val="719"/>
    <w:next w:val="719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3">
    <w:name w:val="Heading 4"/>
    <w:basedOn w:val="719"/>
    <w:next w:val="719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719"/>
    <w:next w:val="719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719"/>
    <w:next w:val="719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719"/>
    <w:next w:val="719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719"/>
    <w:next w:val="719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719"/>
    <w:next w:val="719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699">
    <w:name w:val="Caption"/>
    <w:basedOn w:val="719"/>
    <w:next w:val="719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00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4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7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8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9" w:default="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Title Char"/>
    <w:basedOn w:val="720"/>
    <w:uiPriority w:val="10"/>
    <w:rPr>
      <w:sz w:val="48"/>
      <w:szCs w:val="48"/>
    </w:rPr>
  </w:style>
  <w:style w:type="character" w:styleId="724" w:customStyle="1">
    <w:name w:val="Subtitle Char"/>
    <w:basedOn w:val="720"/>
    <w:uiPriority w:val="11"/>
    <w:rPr>
      <w:sz w:val="24"/>
      <w:szCs w:val="24"/>
    </w:rPr>
  </w:style>
  <w:style w:type="character" w:styleId="725" w:customStyle="1">
    <w:name w:val="Quote Char"/>
    <w:uiPriority w:val="29"/>
    <w:rPr>
      <w:i/>
    </w:rPr>
  </w:style>
  <w:style w:type="character" w:styleId="726" w:customStyle="1">
    <w:name w:val="Intense Quote Char"/>
    <w:uiPriority w:val="30"/>
    <w:rPr>
      <w:i/>
    </w:rPr>
  </w:style>
  <w:style w:type="character" w:styleId="727" w:customStyle="1">
    <w:name w:val="Footnote Text Char"/>
    <w:uiPriority w:val="99"/>
    <w:rPr>
      <w:sz w:val="18"/>
    </w:rPr>
  </w:style>
  <w:style w:type="character" w:styleId="728" w:customStyle="1">
    <w:name w:val="Endnote Text Char"/>
    <w:uiPriority w:val="99"/>
    <w:rPr>
      <w:sz w:val="20"/>
    </w:rPr>
  </w:style>
  <w:style w:type="paragraph" w:styleId="729" w:customStyle="1">
    <w:name w:val="Заголовок 11"/>
    <w:basedOn w:val="719"/>
    <w:next w:val="719"/>
    <w:link w:val="73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0" w:customStyle="1">
    <w:name w:val="Heading 1 Char"/>
    <w:link w:val="729"/>
    <w:uiPriority w:val="9"/>
    <w:rPr>
      <w:rFonts w:ascii="Arial" w:hAnsi="Arial" w:eastAsia="Arial" w:cs="Arial"/>
      <w:sz w:val="40"/>
      <w:szCs w:val="40"/>
    </w:rPr>
  </w:style>
  <w:style w:type="paragraph" w:styleId="731" w:customStyle="1">
    <w:name w:val="Заголовок 21"/>
    <w:basedOn w:val="719"/>
    <w:next w:val="719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2" w:customStyle="1">
    <w:name w:val="Heading 2 Char"/>
    <w:link w:val="731"/>
    <w:uiPriority w:val="9"/>
    <w:rPr>
      <w:rFonts w:ascii="Arial" w:hAnsi="Arial" w:eastAsia="Arial" w:cs="Arial"/>
      <w:sz w:val="34"/>
    </w:rPr>
  </w:style>
  <w:style w:type="paragraph" w:styleId="733" w:customStyle="1">
    <w:name w:val="Заголовок 31"/>
    <w:basedOn w:val="719"/>
    <w:next w:val="719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4" w:customStyle="1">
    <w:name w:val="Heading 3 Char"/>
    <w:link w:val="733"/>
    <w:uiPriority w:val="9"/>
    <w:rPr>
      <w:rFonts w:ascii="Arial" w:hAnsi="Arial" w:eastAsia="Arial" w:cs="Arial"/>
      <w:sz w:val="30"/>
      <w:szCs w:val="30"/>
    </w:rPr>
  </w:style>
  <w:style w:type="paragraph" w:styleId="735" w:customStyle="1">
    <w:name w:val="Заголовок 41"/>
    <w:basedOn w:val="719"/>
    <w:next w:val="719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6" w:customStyle="1">
    <w:name w:val="Heading 4 Char"/>
    <w:link w:val="735"/>
    <w:uiPriority w:val="9"/>
    <w:rPr>
      <w:rFonts w:ascii="Arial" w:hAnsi="Arial" w:eastAsia="Arial" w:cs="Arial"/>
      <w:b/>
      <w:bCs/>
      <w:sz w:val="26"/>
      <w:szCs w:val="26"/>
    </w:rPr>
  </w:style>
  <w:style w:type="paragraph" w:styleId="737" w:customStyle="1">
    <w:name w:val="Заголовок 51"/>
    <w:basedOn w:val="719"/>
    <w:next w:val="719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8" w:customStyle="1">
    <w:name w:val="Heading 5 Char"/>
    <w:link w:val="737"/>
    <w:uiPriority w:val="9"/>
    <w:rPr>
      <w:rFonts w:ascii="Arial" w:hAnsi="Arial" w:eastAsia="Arial" w:cs="Arial"/>
      <w:b/>
      <w:bCs/>
      <w:sz w:val="24"/>
      <w:szCs w:val="24"/>
    </w:rPr>
  </w:style>
  <w:style w:type="paragraph" w:styleId="739" w:customStyle="1">
    <w:name w:val="Заголовок 61"/>
    <w:basedOn w:val="719"/>
    <w:next w:val="719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character" w:styleId="740" w:customStyle="1">
    <w:name w:val="Heading 6 Char"/>
    <w:link w:val="739"/>
    <w:uiPriority w:val="9"/>
    <w:rPr>
      <w:rFonts w:ascii="Arial" w:hAnsi="Arial" w:eastAsia="Arial" w:cs="Arial"/>
      <w:b/>
      <w:bCs/>
      <w:sz w:val="22"/>
      <w:szCs w:val="22"/>
    </w:rPr>
  </w:style>
  <w:style w:type="paragraph" w:styleId="741" w:customStyle="1">
    <w:name w:val="Заголовок 71"/>
    <w:basedOn w:val="719"/>
    <w:next w:val="719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character" w:styleId="742" w:customStyle="1">
    <w:name w:val="Heading 7 Char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3" w:customStyle="1">
    <w:name w:val="Заголовок 81"/>
    <w:basedOn w:val="719"/>
    <w:next w:val="719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character" w:styleId="744" w:customStyle="1">
    <w:name w:val="Heading 8 Char"/>
    <w:link w:val="743"/>
    <w:uiPriority w:val="9"/>
    <w:rPr>
      <w:rFonts w:ascii="Arial" w:hAnsi="Arial" w:eastAsia="Arial" w:cs="Arial"/>
      <w:i/>
      <w:iCs/>
      <w:sz w:val="22"/>
      <w:szCs w:val="22"/>
    </w:rPr>
  </w:style>
  <w:style w:type="paragraph" w:styleId="745" w:customStyle="1">
    <w:name w:val="Заголовок 91"/>
    <w:basedOn w:val="719"/>
    <w:next w:val="719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customStyle="1">
    <w:name w:val="Heading 9 Char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47">
    <w:name w:val="List Paragraph"/>
    <w:basedOn w:val="719"/>
    <w:uiPriority w:val="34"/>
    <w:qFormat/>
    <w:pPr>
      <w:ind w:left="708"/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48">
    <w:name w:val="No Spacing"/>
    <w:uiPriority w:val="1"/>
    <w:qFormat/>
    <w:rPr>
      <w:rFonts w:eastAsia="Times New Roman"/>
      <w:sz w:val="22"/>
      <w:szCs w:val="22"/>
      <w:lang w:eastAsia="ru-RU"/>
    </w:rPr>
  </w:style>
  <w:style w:type="paragraph" w:styleId="749">
    <w:name w:val="Title"/>
    <w:basedOn w:val="719"/>
    <w:next w:val="719"/>
    <w:link w:val="75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0" w:customStyle="1">
    <w:name w:val="Название Знак"/>
    <w:link w:val="749"/>
    <w:uiPriority w:val="10"/>
    <w:rPr>
      <w:sz w:val="48"/>
      <w:szCs w:val="48"/>
    </w:rPr>
  </w:style>
  <w:style w:type="paragraph" w:styleId="751">
    <w:name w:val="Subtitle"/>
    <w:basedOn w:val="719"/>
    <w:next w:val="719"/>
    <w:link w:val="752"/>
    <w:uiPriority w:val="11"/>
    <w:qFormat/>
    <w:pPr>
      <w:spacing w:before="200" w:after="200"/>
    </w:pPr>
    <w:rPr>
      <w:sz w:val="24"/>
      <w:szCs w:val="24"/>
    </w:rPr>
  </w:style>
  <w:style w:type="character" w:styleId="752" w:customStyle="1">
    <w:name w:val="Подзаголовок Знак"/>
    <w:link w:val="751"/>
    <w:uiPriority w:val="11"/>
    <w:rPr>
      <w:sz w:val="24"/>
      <w:szCs w:val="24"/>
    </w:rPr>
  </w:style>
  <w:style w:type="paragraph" w:styleId="753">
    <w:name w:val="Quote"/>
    <w:basedOn w:val="719"/>
    <w:next w:val="719"/>
    <w:link w:val="754"/>
    <w:uiPriority w:val="29"/>
    <w:qFormat/>
    <w:pPr>
      <w:ind w:left="720" w:right="720"/>
    </w:pPr>
    <w:rPr>
      <w:i/>
    </w:rPr>
  </w:style>
  <w:style w:type="character" w:styleId="754" w:customStyle="1">
    <w:name w:val="Цитата 2 Знак"/>
    <w:link w:val="753"/>
    <w:uiPriority w:val="29"/>
    <w:rPr>
      <w:i/>
    </w:rPr>
  </w:style>
  <w:style w:type="paragraph" w:styleId="755">
    <w:name w:val="Intense Quote"/>
    <w:basedOn w:val="719"/>
    <w:next w:val="719"/>
    <w:link w:val="75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 w:customStyle="1">
    <w:name w:val="Выделенная цитата Знак"/>
    <w:link w:val="755"/>
    <w:uiPriority w:val="30"/>
    <w:rPr>
      <w:i/>
    </w:rPr>
  </w:style>
  <w:style w:type="paragraph" w:styleId="757" w:customStyle="1">
    <w:name w:val="Верхний колонтитул1"/>
    <w:basedOn w:val="719"/>
    <w:link w:val="75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8" w:customStyle="1">
    <w:name w:val="Header Char"/>
    <w:link w:val="757"/>
    <w:uiPriority w:val="99"/>
  </w:style>
  <w:style w:type="paragraph" w:styleId="759" w:customStyle="1">
    <w:name w:val="Нижний колонтитул1"/>
    <w:basedOn w:val="719"/>
    <w:link w:val="76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0" w:customStyle="1">
    <w:name w:val="Footer Char"/>
    <w:uiPriority w:val="99"/>
  </w:style>
  <w:style w:type="paragraph" w:styleId="761" w:customStyle="1">
    <w:name w:val="Название объекта1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 w:customStyle="1">
    <w:name w:val="Caption Char"/>
    <w:link w:val="759"/>
    <w:uiPriority w:val="99"/>
  </w:style>
  <w:style w:type="table" w:styleId="763">
    <w:name w:val="Table Grid"/>
    <w:basedOn w:val="721"/>
    <w:uiPriority w:val="39"/>
    <w:tblPr/>
  </w:style>
  <w:style w:type="table" w:styleId="76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8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1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0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1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2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3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4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5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7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8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9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0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1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9">
    <w:name w:val="Hyperlink"/>
    <w:unhideWhenUsed/>
    <w:rPr>
      <w:color w:val="0000ff"/>
      <w:u w:val="single"/>
    </w:rPr>
  </w:style>
  <w:style w:type="paragraph" w:styleId="890">
    <w:name w:val="footnote text"/>
    <w:basedOn w:val="719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 w:customStyle="1">
    <w:name w:val="Текст сноски Знак"/>
    <w:link w:val="890"/>
    <w:uiPriority w:val="99"/>
    <w:rPr>
      <w:sz w:val="18"/>
    </w:rPr>
  </w:style>
  <w:style w:type="character" w:styleId="892">
    <w:name w:val="footnote reference"/>
    <w:uiPriority w:val="99"/>
    <w:unhideWhenUsed/>
    <w:rPr>
      <w:vertAlign w:val="superscript"/>
    </w:rPr>
  </w:style>
  <w:style w:type="paragraph" w:styleId="893">
    <w:name w:val="endnote text"/>
    <w:basedOn w:val="719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 w:customStyle="1">
    <w:name w:val="Текст концевой сноски Знак"/>
    <w:link w:val="893"/>
    <w:uiPriority w:val="99"/>
    <w:rPr>
      <w:sz w:val="20"/>
    </w:rPr>
  </w:style>
  <w:style w:type="character" w:styleId="895">
    <w:name w:val="endnote reference"/>
    <w:uiPriority w:val="99"/>
    <w:semiHidden/>
    <w:unhideWhenUsed/>
    <w:rPr>
      <w:vertAlign w:val="superscript"/>
    </w:rPr>
  </w:style>
  <w:style w:type="paragraph" w:styleId="896">
    <w:name w:val="toc 1"/>
    <w:basedOn w:val="719"/>
    <w:next w:val="719"/>
    <w:uiPriority w:val="39"/>
    <w:unhideWhenUsed/>
    <w:pPr>
      <w:spacing w:after="57"/>
    </w:pPr>
  </w:style>
  <w:style w:type="paragraph" w:styleId="897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898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899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00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01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02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03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04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719"/>
    <w:next w:val="719"/>
    <w:uiPriority w:val="99"/>
    <w:unhideWhenUsed/>
    <w:pPr>
      <w:spacing w:after="0"/>
    </w:pPr>
  </w:style>
  <w:style w:type="paragraph" w:styleId="907">
    <w:name w:val="Header"/>
    <w:basedOn w:val="719"/>
    <w:link w:val="90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8" w:customStyle="1">
    <w:name w:val="Верхний колонтитул Знак"/>
    <w:basedOn w:val="720"/>
    <w:link w:val="907"/>
    <w:uiPriority w:val="99"/>
  </w:style>
  <w:style w:type="paragraph" w:styleId="909">
    <w:name w:val="Footer"/>
    <w:basedOn w:val="719"/>
    <w:link w:val="910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0" w:customStyle="1">
    <w:name w:val="Нижний колонтитул Знак"/>
    <w:basedOn w:val="720"/>
    <w:link w:val="909"/>
    <w:uiPriority w:val="99"/>
    <w:semiHidden/>
  </w:style>
  <w:style w:type="paragraph" w:styleId="911" w:customStyle="1">
    <w:name w:val="ConsPlusNormal"/>
    <w:link w:val="932"/>
    <w:rPr>
      <w:rFonts w:ascii="Arial" w:hAnsi="Arial" w:cs="Arial"/>
      <w:lang w:eastAsia="en-US"/>
    </w:rPr>
  </w:style>
  <w:style w:type="paragraph" w:styleId="912">
    <w:name w:val="Balloon Text"/>
    <w:basedOn w:val="719"/>
    <w:link w:val="913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styleId="913" w:customStyle="1">
    <w:name w:val="Текст выноски Знак"/>
    <w:link w:val="912"/>
    <w:uiPriority w:val="99"/>
    <w:semiHidden/>
    <w:rPr>
      <w:rFonts w:ascii="Tahoma" w:hAnsi="Tahoma" w:cs="Tahoma"/>
      <w:sz w:val="16"/>
      <w:szCs w:val="16"/>
    </w:rPr>
  </w:style>
  <w:style w:type="character" w:styleId="914" w:customStyle="1">
    <w:name w:val="apple-converted-space"/>
  </w:style>
  <w:style w:type="character" w:styleId="915">
    <w:name w:val="Strong"/>
    <w:uiPriority w:val="22"/>
    <w:qFormat/>
    <w:rPr>
      <w:b/>
      <w:bCs/>
    </w:rPr>
  </w:style>
  <w:style w:type="paragraph" w:styleId="916" w:customStyle="1">
    <w:name w:val="ConsPlusTitle"/>
    <w:pPr>
      <w:widowControl w:val="off"/>
    </w:pPr>
    <w:rPr>
      <w:rFonts w:ascii="Arial" w:hAnsi="Arial" w:eastAsia="Times New Roman" w:cs="Arial"/>
      <w:b/>
      <w:bCs/>
      <w:lang w:eastAsia="ru-RU"/>
    </w:rPr>
  </w:style>
  <w:style w:type="paragraph" w:styleId="917" w:customStyle="1">
    <w:name w:val="HeadDoc"/>
    <w:pPr>
      <w:jc w:val="both"/>
      <w:keepLines/>
    </w:pPr>
    <w:rPr>
      <w:rFonts w:ascii="Times New Roman" w:hAnsi="Times New Roman" w:eastAsia="Times New Roman"/>
      <w:sz w:val="28"/>
      <w:szCs w:val="28"/>
      <w:lang w:eastAsia="ru-RU"/>
    </w:rPr>
  </w:style>
  <w:style w:type="character" w:styleId="918" w:customStyle="1">
    <w:name w:val="Основной текст_"/>
    <w:link w:val="919"/>
    <w:uiPriority w:val="99"/>
    <w:rPr>
      <w:sz w:val="25"/>
      <w:szCs w:val="25"/>
      <w:shd w:val="clear" w:color="auto" w:fill="ffffff"/>
    </w:rPr>
  </w:style>
  <w:style w:type="paragraph" w:styleId="919" w:customStyle="1">
    <w:name w:val="Основной текст1"/>
    <w:basedOn w:val="719"/>
    <w:link w:val="918"/>
    <w:uiPriority w:val="99"/>
    <w:pPr>
      <w:ind w:hanging="220"/>
      <w:spacing w:after="300" w:line="312" w:lineRule="exact"/>
      <w:shd w:val="clear" w:color="auto" w:fill="ffffff"/>
    </w:pPr>
    <w:rPr>
      <w:sz w:val="25"/>
      <w:szCs w:val="25"/>
      <w:lang w:val="en-US"/>
    </w:rPr>
  </w:style>
  <w:style w:type="paragraph" w:styleId="920" w:customStyle="1">
    <w:name w:val="ConsPlusNonformat"/>
    <w:pPr>
      <w:widowControl w:val="off"/>
    </w:pPr>
    <w:rPr>
      <w:rFonts w:ascii="Courier New" w:hAnsi="Courier New" w:eastAsia="Times New Roman" w:cs="Courier New"/>
      <w:lang w:eastAsia="ru-RU"/>
    </w:rPr>
  </w:style>
  <w:style w:type="character" w:styleId="921" w:customStyle="1">
    <w:name w:val="Основной текст (3)_"/>
    <w:link w:val="922"/>
    <w:uiPriority w:val="99"/>
    <w:rPr>
      <w:sz w:val="18"/>
      <w:szCs w:val="18"/>
      <w:shd w:val="clear" w:color="auto" w:fill="ffffff"/>
    </w:rPr>
  </w:style>
  <w:style w:type="paragraph" w:styleId="922" w:customStyle="1">
    <w:name w:val="Основной текст (3)"/>
    <w:basedOn w:val="719"/>
    <w:link w:val="921"/>
    <w:uiPriority w:val="99"/>
    <w:pPr>
      <w:ind w:hanging="1340"/>
      <w:jc w:val="right"/>
      <w:spacing w:after="0" w:line="230" w:lineRule="exact"/>
      <w:shd w:val="clear" w:color="auto" w:fill="ffffff"/>
    </w:pPr>
    <w:rPr>
      <w:sz w:val="18"/>
      <w:szCs w:val="18"/>
      <w:lang w:val="en-US"/>
    </w:rPr>
  </w:style>
  <w:style w:type="character" w:styleId="923" w:customStyle="1">
    <w:name w:val="Основной текст (6)_"/>
    <w:link w:val="924"/>
    <w:uiPriority w:val="99"/>
    <w:rPr>
      <w:b/>
      <w:bCs/>
      <w:sz w:val="25"/>
      <w:szCs w:val="25"/>
      <w:shd w:val="clear" w:color="auto" w:fill="ffffff"/>
    </w:rPr>
  </w:style>
  <w:style w:type="paragraph" w:styleId="924" w:customStyle="1">
    <w:name w:val="Основной текст (6)"/>
    <w:basedOn w:val="719"/>
    <w:link w:val="923"/>
    <w:uiPriority w:val="99"/>
    <w:pPr>
      <w:jc w:val="both"/>
      <w:spacing w:before="120" w:after="0" w:line="317" w:lineRule="exact"/>
      <w:shd w:val="clear" w:color="auto" w:fill="ffffff"/>
    </w:pPr>
    <w:rPr>
      <w:b/>
      <w:bCs/>
      <w:sz w:val="25"/>
      <w:szCs w:val="25"/>
      <w:lang w:val="en-US"/>
    </w:rPr>
  </w:style>
  <w:style w:type="character" w:styleId="925" w:customStyle="1">
    <w:name w:val="Основной текст (7)_"/>
    <w:link w:val="926"/>
    <w:uiPriority w:val="99"/>
    <w:rPr>
      <w:i/>
      <w:iCs/>
      <w:spacing w:val="10"/>
      <w:sz w:val="25"/>
      <w:szCs w:val="25"/>
      <w:shd w:val="clear" w:color="auto" w:fill="ffffff"/>
    </w:rPr>
  </w:style>
  <w:style w:type="paragraph" w:styleId="926" w:customStyle="1">
    <w:name w:val="Основной текст (7)"/>
    <w:basedOn w:val="719"/>
    <w:link w:val="925"/>
    <w:uiPriority w:val="99"/>
    <w:pPr>
      <w:spacing w:before="240" w:after="420" w:line="240" w:lineRule="atLeast"/>
      <w:shd w:val="clear" w:color="auto" w:fill="ffffff"/>
    </w:pPr>
    <w:rPr>
      <w:i/>
      <w:iCs/>
      <w:spacing w:val="10"/>
      <w:sz w:val="25"/>
      <w:szCs w:val="25"/>
      <w:lang w:val="en-US"/>
    </w:rPr>
  </w:style>
  <w:style w:type="character" w:styleId="927" w:customStyle="1">
    <w:name w:val="Основной текст (2)_"/>
    <w:link w:val="928"/>
    <w:uiPriority w:val="99"/>
    <w:rPr>
      <w:shd w:val="clear" w:color="auto" w:fill="ffffff"/>
    </w:rPr>
  </w:style>
  <w:style w:type="paragraph" w:styleId="928" w:customStyle="1">
    <w:name w:val="Основной текст (2)"/>
    <w:basedOn w:val="719"/>
    <w:link w:val="927"/>
    <w:uiPriority w:val="99"/>
    <w:pPr>
      <w:jc w:val="right"/>
      <w:spacing w:after="0" w:line="240" w:lineRule="atLeast"/>
      <w:shd w:val="clear" w:color="auto" w:fill="ffffff"/>
    </w:pPr>
    <w:rPr>
      <w:sz w:val="20"/>
      <w:szCs w:val="20"/>
      <w:lang w:val="en-US"/>
    </w:rPr>
  </w:style>
  <w:style w:type="character" w:styleId="929" w:customStyle="1">
    <w:name w:val="Основной текст (9)_"/>
    <w:link w:val="930"/>
    <w:uiPriority w:val="99"/>
    <w:rPr>
      <w:sz w:val="19"/>
      <w:szCs w:val="19"/>
      <w:shd w:val="clear" w:color="auto" w:fill="ffffff"/>
    </w:rPr>
  </w:style>
  <w:style w:type="paragraph" w:styleId="930" w:customStyle="1">
    <w:name w:val="Основной текст (9)"/>
    <w:basedOn w:val="719"/>
    <w:link w:val="929"/>
    <w:uiPriority w:val="99"/>
    <w:pPr>
      <w:ind w:firstLine="300"/>
      <w:jc w:val="both"/>
      <w:spacing w:after="0" w:line="240" w:lineRule="atLeast"/>
      <w:shd w:val="clear" w:color="auto" w:fill="ffffff"/>
    </w:pPr>
    <w:rPr>
      <w:sz w:val="19"/>
      <w:szCs w:val="19"/>
      <w:lang w:val="en-US"/>
    </w:rPr>
  </w:style>
  <w:style w:type="character" w:styleId="931" w:customStyle="1">
    <w:name w:val="Основной текст (8) + Не курсив1"/>
    <w:uiPriority w:val="99"/>
    <w:rPr>
      <w:rFonts w:ascii="Times New Roman" w:hAnsi="Times New Roman" w:cs="Times New Roman"/>
      <w:i/>
      <w:iCs/>
      <w:spacing w:val="0"/>
      <w:sz w:val="18"/>
      <w:szCs w:val="18"/>
      <w:shd w:val="clear" w:color="auto" w:fill="ffffff"/>
    </w:rPr>
  </w:style>
  <w:style w:type="character" w:styleId="932" w:customStyle="1">
    <w:name w:val="ConsPlusNormal Знак"/>
    <w:link w:val="911"/>
    <w:rPr>
      <w:rFonts w:ascii="Arial" w:hAnsi="Arial" w:cs="Arial"/>
      <w:lang w:val="ru-RU" w:eastAsia="en-US" w:bidi="ar-SA"/>
    </w:rPr>
  </w:style>
  <w:style w:type="character" w:styleId="933" w:customStyle="1">
    <w:name w:val="Основной текст2"/>
    <w:rPr>
      <w:rFonts w:ascii="Times New Roman" w:hAnsi="Times New Roman" w:cs="Times New Roman"/>
      <w:spacing w:val="0"/>
      <w:sz w:val="21"/>
      <w:szCs w:val="21"/>
      <w:shd w:val="clear" w:color="auto" w:fill="fffff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consultantplus://offline/ref=B75EFAD976AAA814413D4FF1991D190339F5198BC4DF178970C4BE1A41A012802702FF2BF8D5B829FFc7C" TargetMode="External"/><Relationship Id="rId11" Type="http://schemas.openxmlformats.org/officeDocument/2006/relationships/hyperlink" Target="consultantplus://offline/ref=B75EFAD976AAA814413D4FF1991D190339F5198BC4DF178970C4BE1A41A012802702FF28F8D1FBc4C" TargetMode="External"/><Relationship Id="rId12" Type="http://schemas.openxmlformats.org/officeDocument/2006/relationships/hyperlink" Target="consultantplus://offline/ref=B75EFAD976AAA814413D4FF1991D190339F5198BC4DF178970C4BE1A41A012802702FF28F8D3FBc2C" TargetMode="External"/><Relationship Id="rId13" Type="http://schemas.openxmlformats.org/officeDocument/2006/relationships/hyperlink" Target="consultantplus://offline/ref=B75EFAD976AAA814413D4FF1991D190339F5198BC4DF178970C4BE1A41A012802702FF28F8DCFBc6C" TargetMode="External"/><Relationship Id="rId14" Type="http://schemas.openxmlformats.org/officeDocument/2006/relationships/hyperlink" Target="consultantplus://offline/ref=5BA749EBFB773E77092F1EDCEB9EC80926277F5E0F9A53849088F30E00AA8CB7A8E3E6B5D6C8yDd5C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Дроздова Марина Григорьевна</dc:creator>
  <cp:lastModifiedBy>koa</cp:lastModifiedBy>
  <cp:revision>77</cp:revision>
  <dcterms:created xsi:type="dcterms:W3CDTF">2017-04-10T11:14:00Z</dcterms:created>
  <dcterms:modified xsi:type="dcterms:W3CDTF">2025-12-02T10:12:48Z</dcterms:modified>
  <cp:version>786432</cp:version>
</cp:coreProperties>
</file>