
<file path=[Content_Types].xml><?xml version="1.0" encoding="utf-8"?>
<Types xmlns="http://schemas.openxmlformats.org/package/2006/content-types">
  <Default Extension="svg" ContentType="image/svg+xml"/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right"/>
        <w:spacing w:after="60"/>
        <w:widowControl w:val="off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№ 4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709"/>
        <w:jc w:val="right"/>
        <w:spacing w:after="60"/>
        <w:widowControl w:val="off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709"/>
        <w:jc w:val="right"/>
        <w:spacing w:after="60"/>
        <w:widowControl w:val="off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 Документации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709"/>
        <w:jc w:val="right"/>
        <w:spacing w:after="60"/>
        <w:widowControl w:val="off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по отбору финансов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организаци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на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709"/>
        <w:jc w:val="right"/>
        <w:spacing w:after="60"/>
        <w:widowControl w:val="off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оказание услуг по организации выпуска,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709"/>
        <w:jc w:val="right"/>
        <w:spacing w:after="60"/>
        <w:widowControl w:val="off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размещения и обращения государственных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709"/>
        <w:jc w:val="right"/>
        <w:spacing w:after="60"/>
        <w:widowControl w:val="off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 облигаций Томской области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709"/>
        <w:jc w:val="right"/>
        <w:spacing w:after="60"/>
        <w:widowControl w:val="off"/>
        <w:rPr>
          <w:rFonts w:ascii="PT Astra Serif" w:hAnsi="PT Astra Serif" w:eastAsia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2025-2028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год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ов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jc w:val="center"/>
        <w:spacing w:before="120" w:after="240"/>
        <w:rPr>
          <w:rFonts w:ascii="PT Astra Serif" w:hAnsi="PT Astra Serif" w:cs="PT Astra Serif"/>
          <w:b/>
          <w:i/>
          <w:iCs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ОБОСНОВАНИЕ НАЧАЛЬНОЙ (МАКСИМАЛЬНОЙ) ЦЕНЫ КОНТРАКТА</w:t>
      </w:r>
      <w:r>
        <w:rPr>
          <w:rFonts w:ascii="PT Astra Serif" w:hAnsi="PT Astra Serif" w:cs="PT Astra Serif"/>
          <w:b/>
          <w:i/>
          <w:iCs/>
          <w:sz w:val="24"/>
          <w:szCs w:val="24"/>
        </w:rPr>
      </w:r>
      <w:r>
        <w:rPr>
          <w:rFonts w:ascii="PT Astra Serif" w:hAnsi="PT Astra Serif" w:cs="PT Astra Serif"/>
          <w:b/>
          <w:i/>
          <w:iCs/>
          <w:sz w:val="24"/>
          <w:szCs w:val="24"/>
        </w:rPr>
      </w:r>
    </w:p>
    <w:p>
      <w:pPr>
        <w:ind w:firstLine="709"/>
        <w:jc w:val="both"/>
        <w:spacing w:after="60"/>
        <w:widowControl w:val="off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Используемый метод определения начальной (максимальной) цены контракта: метод сопоставимых рыночных цен (анализа рынка).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6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Выбранный метод обоснования начальной (максимальной) цены контракта: в соответствии с частью 6 статьи 22 </w:t>
      </w:r>
      <w:r>
        <w:rPr>
          <w:rFonts w:ascii="PT Astra Serif" w:hAnsi="PT Astra Serif" w:cs="PT Astra Serif"/>
          <w:sz w:val="24"/>
          <w:szCs w:val="24"/>
        </w:rPr>
        <w:t xml:space="preserve">Федерального </w:t>
      </w:r>
      <w:hyperlink r:id="rId8" w:tooltip="consultantplus://offline/ref=80329293FB7B7A185AF35FC809B34E00396BA6D5B5538A4F503A5B6EBBDAK4J" w:history="1">
        <w:r>
          <w:rPr>
            <w:rFonts w:ascii="PT Astra Serif" w:hAnsi="PT Astra Serif" w:cs="PT Astra Serif"/>
            <w:color w:val="000000" w:themeColor="text1"/>
            <w:sz w:val="24"/>
            <w:szCs w:val="24"/>
          </w:rPr>
          <w:t xml:space="preserve">закона</w:t>
        </w:r>
      </w:hyperlink>
      <w:r>
        <w:rPr>
          <w:rFonts w:ascii="PT Astra Serif" w:hAnsi="PT Astra Serif" w:eastAsia="PT Astra Serif" w:cs="PT Astra Serif"/>
          <w:sz w:val="24"/>
          <w:szCs w:val="24"/>
        </w:rPr>
        <w:t xml:space="preserve"> №</w:t>
      </w:r>
      <w:r>
        <w:rPr>
          <w:rFonts w:ascii="PT Astra Serif" w:hAnsi="PT Astra Serif" w:cs="PT Astra Serif"/>
          <w:sz w:val="24"/>
          <w:szCs w:val="24"/>
        </w:rPr>
        <w:t xml:space="preserve"> 44-ФЗ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является приоритетным для определения и обоснования начальной (максимальной) цены контракта.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120"/>
        <w:rPr>
          <w:rFonts w:ascii="PT Astra Serif" w:hAnsi="PT Astra Serif" w:cs="PT Astra Serif"/>
          <w:b/>
          <w:color w:val="000000" w:themeColor="text1"/>
          <w:sz w:val="24"/>
          <w:szCs w:val="24"/>
          <w:u w:val="singl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Источником информации для определения начальной (максимальной) цены государственного контракта является анализ общедоступной ценовой информации, содержащейся в реестре контрактов,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ЕИС в сфере закупок</w:t>
      </w:r>
      <w:r>
        <w:rPr>
          <w:rStyle w:val="852"/>
          <w:rFonts w:ascii="PT Astra Serif" w:hAnsi="PT Astra Serif" w:eastAsia="PT Astra Serif" w:cs="PT Astra Serif"/>
          <w:color w:val="auto"/>
          <w:sz w:val="24"/>
          <w:szCs w:val="24"/>
          <w:u w:val="none"/>
        </w:rPr>
        <w:t xml:space="preserve">.</w:t>
      </w:r>
      <w:r>
        <w:rPr>
          <w:rFonts w:ascii="PT Astra Serif" w:hAnsi="PT Astra Serif" w:cs="PT Astra Serif"/>
          <w:b/>
          <w:color w:val="000000" w:themeColor="text1"/>
          <w:sz w:val="24"/>
          <w:szCs w:val="24"/>
          <w:u w:val="single"/>
        </w:rPr>
      </w:r>
      <w:r>
        <w:rPr>
          <w:rFonts w:ascii="PT Astra Serif" w:hAnsi="PT Astra Serif" w:cs="PT Astra Serif"/>
          <w:b/>
          <w:color w:val="000000" w:themeColor="text1"/>
          <w:sz w:val="24"/>
          <w:szCs w:val="24"/>
          <w:u w:val="single"/>
        </w:rPr>
      </w:r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1"/>
        <w:gridCol w:w="1134"/>
        <w:gridCol w:w="2833"/>
        <w:gridCol w:w="2270"/>
        <w:gridCol w:w="1134"/>
        <w:gridCol w:w="708"/>
        <w:gridCol w:w="1134"/>
      </w:tblGrid>
      <w:tr>
        <w:tblPrEx/>
        <w:trPr>
          <w:trHeight w:val="39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vMerge w:val="restart"/>
            <w:textDirection w:val="lrTb"/>
            <w:noWrap w:val="false"/>
          </w:tcPr>
          <w:p>
            <w:pPr>
              <w:ind w:left="-93" w:right="-108"/>
              <w:jc w:val="center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br/>
              <w:t xml:space="preserve">п/п</w:t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ind w:right="-29"/>
              <w:jc w:val="center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Дата проведения закупки</w:t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Align w:val="center"/>
            <w:vMerge w:val="restart"/>
            <w:textDirection w:val="lrTb"/>
            <w:noWrap w:val="false"/>
          </w:tcPr>
          <w:p>
            <w:pPr>
              <w:ind w:right="-29"/>
              <w:jc w:val="center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Заказчик</w:t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0" w:type="dxa"/>
            <w:vAlign w:val="center"/>
            <w:vMerge w:val="restart"/>
            <w:textDirection w:val="lrTb"/>
            <w:noWrap w:val="false"/>
          </w:tcPr>
          <w:p>
            <w:pPr>
              <w:ind w:right="-29"/>
              <w:jc w:val="center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Реестровый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br/>
              <w:t xml:space="preserve">номер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br/>
              <w:t xml:space="preserve">контракта</w:t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Объем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br/>
              <w:t xml:space="preserve">эмиссии,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br/>
              <w:t xml:space="preserve">млн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br/>
              <w:t xml:space="preserve">рублей</w:t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</w:p>
        </w:tc>
        <w:tc>
          <w:tcPr>
            <w:gridSpan w:val="2"/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ind w:right="-29"/>
              <w:jc w:val="center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Цена контракта,</w:t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12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vMerge w:val="continue"/>
            <w:textDirection w:val="lrTb"/>
            <w:noWrap w:val="false"/>
          </w:tcPr>
          <w:p>
            <w:pPr>
              <w:ind w:right="-29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right="-29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Align w:val="center"/>
            <w:vMerge w:val="continue"/>
            <w:textDirection w:val="lrTb"/>
            <w:noWrap w:val="false"/>
          </w:tcPr>
          <w:p>
            <w:pPr>
              <w:ind w:right="-29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70" w:type="dxa"/>
            <w:vAlign w:val="center"/>
            <w:vMerge w:val="continue"/>
            <w:textDirection w:val="lrTb"/>
            <w:noWrap w:val="false"/>
          </w:tcPr>
          <w:p>
            <w:pPr>
              <w:ind w:right="-29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ind w:right="-29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млн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br/>
              <w:t xml:space="preserve">рублей</w:t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в %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br/>
              <w:t xml:space="preserve">от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br/>
              <w:t xml:space="preserve">объема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br/>
              <w:t xml:space="preserve">эмиссии</w:t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249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ind w:left="-93"/>
              <w:jc w:val="right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05.11.2025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Министерство финансов Республики Башкортостан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7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2027403430825000010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16 000,0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15,84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0,10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6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ind w:left="-93"/>
              <w:jc w:val="right"/>
              <w:rPr>
                <w:rFonts w:ascii="PT Astra Serif" w:hAnsi="PT Astra Serif" w:cs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  <w:t xml:space="preserve">2</w:t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  <w:r>
              <w:rPr>
                <w:rFonts w:ascii="PT Astra Serif" w:hAnsi="PT Astra Serif" w:cs="PT Astra Serif"/>
                <w:color w:val="000000"/>
                <w:sz w:val="18"/>
                <w:szCs w:val="18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28.10.2025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Министерство финансов Самарской области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70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2631580223125000041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15 000,0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13,20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textDirection w:val="lrTb"/>
            <w:noWrap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0,09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6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vMerge w:val="restart"/>
            <w:textDirection w:val="lrTb"/>
            <w:noWrap w:val="false"/>
          </w:tcPr>
          <w:p>
            <w:pPr>
              <w:ind w:left="-93"/>
              <w:jc w:val="right"/>
              <w:rPr>
                <w:rFonts w:ascii="PT Astra Serif" w:hAnsi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3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21.10.2025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Департамент финансов Ханты-Мансийского автономного округа - Югры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70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2860100962025000007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10 000,0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9,90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0,10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60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vMerge w:val="restart"/>
            <w:textDirection w:val="lrTb"/>
            <w:noWrap w:val="false"/>
          </w:tcPr>
          <w:p>
            <w:pPr>
              <w:ind w:left="-93"/>
              <w:jc w:val="right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06.05.2025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Министерство финансов Республики Башкортостан</w:t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  <w:r>
              <w:rPr>
                <w:rFonts w:ascii="PT Astra Serif" w:hAnsi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70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2027403430825000004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12 000,0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10,50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/>
          </w:tcPr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0,09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  <w:tr>
        <w:tblPrEx/>
        <w:trPr>
          <w:trHeight w:val="537"/>
        </w:trPr>
        <w:tc>
          <w:tcPr>
            <w:shd w:val="clear" w:color="ffffff" w:fill="ffffff"/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1" w:type="dxa"/>
            <w:vAlign w:val="center"/>
            <w:vMerge w:val="restart"/>
            <w:textDirection w:val="lrTb"/>
            <w:noWrap w:val="false"/>
          </w:tcPr>
          <w:p>
            <w:pPr>
              <w:ind w:left="-93"/>
              <w:jc w:val="right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18.03.2025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833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Министерство финансов Республики Саха (Якутия)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70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2143502767325000004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7 700,00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6,50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/>
          </w:tcPr>
          <w:p>
            <w:pPr>
              <w:rPr>
                <w:rFonts w:ascii="PT Astra Serif" w:hAnsi="PT Astra Serif" w:eastAsia="PT Astra Serif" w:cs="PT Astra Serif"/>
                <w:sz w:val="20"/>
                <w:szCs w:val="20"/>
              </w:rPr>
            </w:pPr>
            <w:r>
              <w:rPr>
                <w:rFonts w:ascii="PT Astra Serif" w:hAnsi="PT Astra Serif" w:eastAsia="PT Astra Serif" w:cs="PT Astra Serif"/>
                <w:sz w:val="20"/>
                <w:szCs w:val="20"/>
              </w:rPr>
              <w:t xml:space="preserve">0,08</w:t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  <w:r>
              <w:rPr>
                <w:rFonts w:ascii="PT Astra Serif" w:hAnsi="PT Astra Serif" w:eastAsia="PT Astra Serif" w:cs="PT Astra Serif"/>
                <w:sz w:val="20"/>
                <w:szCs w:val="20"/>
              </w:rPr>
            </w:r>
          </w:p>
        </w:tc>
      </w:tr>
    </w:tbl>
    <w:p>
      <w:pPr>
        <w:ind w:firstLine="567"/>
        <w:jc w:val="both"/>
        <w:spacing w:before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НМЦК методом сопоставимых рыночных цен (анализа рынка) определяется по формуле: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67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  <w:highlight w:val="none"/>
        </w:rPr>
      </w:r>
      <m:oMath>
        <m:sSup>
          <m:sSupPr>
            <m:ctrlPr/>
          </m:sSupPr>
          <m:e>
            <m:r>
              <w:rPr>
                <w:rFonts w:ascii="Cambria Math" w:hAnsi="Cambria Math" w:eastAsia="Cambria Math" w:cs="Cambria Math"/>
              </w:rPr>
              <m:rPr/>
              <m:t>НМЦК</m:t>
            </m:r>
          </m:e>
          <m:sup>
            <m:r>
              <w:rPr>
                <w:rFonts w:ascii="Cambria Math" w:hAnsi="Cambria Math" w:eastAsia="Cambria Math" w:cs="Cambria Math"/>
              </w:rPr>
              <m:rPr/>
              <m:t>рын</m:t>
            </m:r>
          </m:sup>
        </m:sSup>
        <m:r>
          <w:rPr>
            <w:rFonts w:ascii="Cambria Math" w:hAnsi="Cambria Math" w:eastAsia="Cambria Math" w:cs="Cambria Math"/>
          </w:rPr>
          <m:rPr/>
          <m:t>=</m:t>
        </m:r>
        <m:f>
          <m:fPr>
            <m:ctrlPr/>
          </m:fPr>
          <m:num>
            <m:r>
              <w:rPr>
                <w:rFonts w:ascii="Cambria Math" w:hAnsi="Cambria Math" w:eastAsia="Cambria Math" w:cs="Cambria Math"/>
              </w:rPr>
              <m:rPr/>
              <m:t>v</m:t>
            </m:r>
          </m:num>
          <m:den>
            <m:r>
              <w:rPr>
                <w:rFonts w:ascii="Cambria Math" w:hAnsi="Cambria Math" w:eastAsia="Cambria Math" w:cs="Cambria Math"/>
              </w:rPr>
              <m:rPr/>
              <m:t>n</m:t>
            </m:r>
          </m:den>
        </m:f>
        <m:r>
          <w:rPr>
            <w:rFonts w:ascii="Cambria Math" w:hAnsi="Cambria Math" w:eastAsia="Cambria Math" w:cs="Cambria Math"/>
          </w:rPr>
          <m:rPr/>
          <m:t>*</m:t>
        </m:r>
        <m:nary>
          <m:naryPr>
            <m:chr m:val="∑"/>
            <m:grow m:val="off"/>
            <m:ctrlPr/>
          </m:naryPr>
          <m:sub>
            <m:r>
              <w:rPr>
                <w:rFonts w:ascii="Cambria Math" w:hAnsi="Cambria Math" w:eastAsia="Cambria Math" w:cs="Cambria Math"/>
              </w:rPr>
              <m:rPr/>
              <m:t>i</m:t>
            </m:r>
            <m:r>
              <w:rPr>
                <w:rFonts w:ascii="Cambria Math" w:hAnsi="Cambria Math" w:eastAsia="Cambria Math" w:cs="Cambria Math"/>
              </w:rPr>
              <m:rPr/>
              <m:t>=</m:t>
            </m:r>
            <m:r>
              <w:rPr>
                <w:rFonts w:ascii="Cambria Math" w:hAnsi="Cambria Math" w:eastAsia="Cambria Math" w:cs="Cambria Math"/>
              </w:rPr>
              <m:rPr/>
              <m:t>1</m:t>
            </m:r>
          </m:sub>
          <m:sup>
            <m:r>
              <w:rPr>
                <w:rFonts w:ascii="Cambria Math" w:hAnsi="Cambria Math" w:eastAsia="Cambria Math" w:cs="Cambria Math"/>
              </w:rPr>
              <m:rPr/>
              <m:t>n</m:t>
            </m:r>
          </m:sup>
          <m:e>
            <m:r>
              <w:rPr>
                <w:rFonts w:ascii="Cambria Math" w:hAnsi="Cambria Math" w:eastAsia="Cambria Math" w:cs="Cambria Math"/>
              </w:rPr>
              <m:rPr/>
              <m:t>Цi</m:t>
            </m:r>
          </m:e>
        </m:nary>
      </m:oMath>
      <w:r>
        <w:rPr>
          <w:rFonts w:ascii="PT Astra Serif" w:hAnsi="PT Astra Serif" w:cs="PT Astra Serif"/>
          <w:sz w:val="24"/>
          <w:szCs w:val="24"/>
          <w:highlight w:val="none"/>
        </w:rPr>
        <w:t xml:space="preserve">, где: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67"/>
        <w:jc w:val="both"/>
        <w:spacing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ab/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76275" cy="228600"/>
                <wp:effectExtent l="0" t="0" r="0" b="0"/>
                <wp:docPr id="1" name="_x0000_i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>
                          <a:extLst>
                            <a:ext uri="{96DAC541-7B7A-43D3-8B79-37D633B846F1}">
                              <asvg:svgBlip xmlns:asvg="http://schemas.microsoft.com/office/drawing/2016/SVG/main" r:embed="rId10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6762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18.0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4"/>
          <w:szCs w:val="24"/>
        </w:rPr>
        <w:t xml:space="preserve"> - НМЦК, определяемая методом сопоставимых рыночных цен (анализа рынка);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67"/>
        <w:jc w:val="both"/>
        <w:spacing w:line="240" w:lineRule="auto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ab/>
        <w:t xml:space="preserve">v - количество (объем) закупаемого товара (работы, услуги);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567"/>
        <w:jc w:val="both"/>
        <w:spacing w:line="24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ab/>
        <w:t xml:space="preserve">n - количество значений, используемых в расчете;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ab/>
        <w:t xml:space="preserve">i - номер источника ценовой информации;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67"/>
        <w:jc w:val="both"/>
        <w:spacing w:after="12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ab/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42875" cy="228600"/>
                <wp:effectExtent l="0" t="0" r="0" b="0"/>
                <wp:docPr id="2" name="_x0000_i10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1">
                          <a:extLst>
                            <a:ext uri="{96DAC541-7B7A-43D3-8B79-37D633B846F1}">
                              <asvg:svgBlip xmlns:asvg="http://schemas.microsoft.com/office/drawing/2016/SVG/main" r:embed="rId12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14287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11.25pt;height:18.0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PT Astra Serif" w:hAnsi="PT Astra Serif" w:eastAsia="PT Astra Serif" w:cs="PT Astra Serif"/>
          <w:sz w:val="24"/>
          <w:szCs w:val="24"/>
        </w:rPr>
        <w:t xml:space="preserve"> - цена единицы товара, рабо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оказания услуг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67"/>
        <w:jc w:val="both"/>
        <w:spacing w:after="120" w:line="360" w:lineRule="auto"/>
        <w:rPr>
          <w:rFonts w:ascii="PT Astra Serif" w:hAnsi="PT Astra Serif" w:cs="PT Astra Serif"/>
          <w:sz w:val="24"/>
          <w:szCs w:val="24"/>
        </w:rPr>
      </w:pPr>
      <w:r/>
      <m:oMathPara>
        <m:oMathParaPr/>
        <m:oMath>
          <m:r>
            <w:rPr>
              <w:rFonts w:ascii="Cambria Math" w:hAnsi="Cambria Math" w:eastAsia="Cambria Math" w:cs="Cambria Math"/>
              <w:sz w:val="24"/>
              <w:szCs w:val="24"/>
            </w:rPr>
            <m:rPr/>
            <m:t>НМЦК рын</m:t>
          </m:r>
          <m:r>
            <w:rPr>
              <w:rFonts w:ascii="Cambria Math" w:hAnsi="Cambria Math" w:eastAsia="Cambria Math" w:cs="Cambria Math"/>
              <w:sz w:val="24"/>
              <w:szCs w:val="24"/>
            </w:rPr>
            <m:rPr>
              <m:sty m:val="p"/>
            </m:rPr>
            <m:t>=</m:t>
          </m:r>
          <m:f>
            <m:fPr>
              <m:ctrlPr>
                <w:rPr>
                  <w:rFonts w:ascii="Cambria Math" w:hAnsi="Cambria Math" w:eastAsia="Cambria Math" w:cs="Cambria Math"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eastAsia="Cambria Math" w:cs="Cambria Math"/>
                  <w:sz w:val="24"/>
                  <w:szCs w:val="24"/>
                </w:rPr>
                <m:rPr/>
                <m:t>0,10</m:t>
              </m:r>
              <m:r>
                <w:rPr>
                  <w:rFonts w:ascii="Cambria Math" w:hAnsi="Cambria Math" w:eastAsia="Cambria Math" w:cs="Cambria Math"/>
                  <w:sz w:val="24"/>
                  <w:szCs w:val="24"/>
                </w:rPr>
                <m:rPr/>
                <m:t>%+</m:t>
              </m:r>
              <m:r>
                <w:rPr>
                  <w:rFonts w:ascii="Cambria Math" w:hAnsi="Cambria Math" w:eastAsia="Cambria Math" w:cs="Cambria Math"/>
                  <w:sz w:val="24"/>
                  <w:szCs w:val="24"/>
                </w:rPr>
                <m:rPr/>
                <m:t>0,09</m:t>
              </m:r>
              <m:r>
                <w:rPr>
                  <w:rFonts w:ascii="Cambria Math" w:hAnsi="Cambria Math" w:eastAsia="Cambria Math" w:cs="Cambria Math"/>
                </w:rPr>
                <m:rPr/>
                <m:t>%</m:t>
              </m:r>
              <m:r>
                <w:rPr>
                  <w:rFonts w:ascii="Cambria Math" w:hAnsi="Cambria Math" w:eastAsia="Cambria Math" w:cs="Cambria Math"/>
                </w:rPr>
                <m:rPr/>
                <m:t>+</m:t>
              </m:r>
              <m:r>
                <w:rPr>
                  <w:rFonts w:ascii="Cambria Math" w:hAnsi="Cambria Math" w:eastAsia="Cambria Math" w:cs="Cambria Math"/>
                </w:rPr>
                <m:rPr/>
                <m:t>0</m:t>
              </m:r>
              <m:r>
                <w:rPr>
                  <w:rFonts w:ascii="Cambria Math" w:hAnsi="Cambria Math" w:eastAsia="Cambria Math" w:cs="Cambria Math"/>
                </w:rPr>
                <m:rPr/>
                <m:t>,10</m:t>
              </m:r>
              <m:r>
                <w:rPr>
                  <w:rFonts w:ascii="Cambria Math" w:hAnsi="Cambria Math" w:eastAsia="Cambria Math" w:cs="Cambria Math"/>
                </w:rPr>
                <m:rPr/>
                <m:t>%</m:t>
              </m:r>
              <m:r>
                <w:rPr>
                  <w:rFonts w:ascii="Cambria Math" w:hAnsi="Cambria Math" w:eastAsia="Cambria Math" w:cs="Cambria Math"/>
                </w:rPr>
                <m:rPr/>
                <m:t>+</m:t>
              </m:r>
              <m:r>
                <w:rPr>
                  <w:rFonts w:ascii="Cambria Math" w:hAnsi="Cambria Math" w:eastAsia="Cambria Math" w:cs="Cambria Math"/>
                </w:rPr>
                <m:rPr/>
                <m:t>0</m:t>
              </m:r>
              <m:r>
                <w:rPr>
                  <w:rFonts w:ascii="Cambria Math" w:hAnsi="Cambria Math" w:eastAsia="Cambria Math" w:cs="Cambria Math"/>
                </w:rPr>
                <m:rPr/>
                <m:t>,</m:t>
              </m:r>
              <m:r>
                <w:rPr>
                  <w:rFonts w:ascii="Cambria Math" w:hAnsi="Cambria Math" w:eastAsia="Cambria Math" w:cs="Cambria Math"/>
                </w:rPr>
                <m:rPr/>
                <m:t>09</m:t>
              </m:r>
              <m:r>
                <w:rPr>
                  <w:rFonts w:ascii="Cambria Math" w:hAnsi="Cambria Math" w:eastAsia="Cambria Math" w:cs="Cambria Math"/>
                </w:rPr>
                <m:rPr/>
                <m:t>+0,08</m:t>
              </m:r>
            </m:num>
            <m:den>
              <m:r>
                <w:rPr>
                  <w:rFonts w:ascii="Cambria Math" w:hAnsi="Cambria Math" w:eastAsia="Cambria Math" w:cs="Cambria Math"/>
                  <w:sz w:val="24"/>
                  <w:szCs w:val="24"/>
                </w:rPr>
                <m:rPr/>
                <m:t>5</m:t>
              </m:r>
            </m:den>
          </m:f>
          <m:r>
            <w:rPr>
              <w:rFonts w:ascii="Cambria Math" w:hAnsi="Cambria Math" w:eastAsia="Cambria Math" w:cs="Cambria Math"/>
              <w:sz w:val="24"/>
              <w:szCs w:val="24"/>
            </w:rPr>
            <m:rPr/>
            <m:t>=0,09</m:t>
          </m:r>
          <m:r>
            <w:rPr>
              <w:rFonts w:ascii="Cambria Math" w:hAnsi="Cambria Math" w:eastAsia="Cambria Math" w:cs="Cambria Math"/>
              <w:sz w:val="24"/>
              <w:szCs w:val="24"/>
            </w:rPr>
            <m:rPr/>
            <m:t>%</m:t>
          </m:r>
        </m:oMath>
      </m:oMathPara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ab/>
        <w:t xml:space="preserve">Дробное значение НМЦК</w:t>
      </w:r>
      <w:r>
        <w:rPr>
          <w:rFonts w:ascii="PT Astra Serif" w:hAnsi="PT Astra Serif" w:eastAsia="PT Astra Serif" w:cs="PT Astra Serif"/>
          <w:sz w:val="24"/>
          <w:szCs w:val="24"/>
          <w:vertAlign w:val="superscript"/>
        </w:rPr>
        <w:t xml:space="preserve">рын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округляется до двух десятичных знаков после запятой по математическим правилам округления.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60"/>
        <w:widowControl w:val="off"/>
        <w:tabs>
          <w:tab w:val="left" w:pos="264" w:leader="none"/>
        </w:tabs>
        <w:rPr>
          <w:rFonts w:ascii="PT Astra Serif" w:hAnsi="PT Astra Serif" w:cs="PT Astra Serif"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sz w:val="24"/>
          <w:szCs w:val="24"/>
        </w:rPr>
        <w:t xml:space="preserve">Таким образом, начальная (максимальная) цена контракта устанавливается в размере 0,09% от объема эмиссии.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120"/>
        <w:widowControl w:val="off"/>
        <w:tabs>
          <w:tab w:val="left" w:pos="264" w:leader="none"/>
        </w:tabs>
        <w:rPr>
          <w:rFonts w:ascii="PT Astra Serif" w:hAnsi="PT Astra Serif" w:cs="PT Astra Serif"/>
          <w:sz w:val="24"/>
          <w:szCs w:val="24"/>
        </w:rPr>
        <w:outlineLvl w:val="2"/>
      </w:pP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Начальная (максимальная) цена контракта,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исходя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из объема эмиссии облигаций государственного займа Томской области в 2025-2028 годах в соответствии с Законом Томской области от 27 декабря 2024 года 138-ОЗ «Об областном бюджете на 2025 год и на плановый период 2026 и 2027 годов», определена в размере </w:t>
      </w:r>
      <w:bookmarkStart w:id="0" w:name="undefined"/>
      <w:r/>
      <w:bookmarkEnd w:id="0"/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27</w:t>
      </w:r>
      <w:r>
        <w:rPr>
          <w:rFonts w:ascii="PT Astra Serif" w:hAnsi="PT Astra Serif" w:eastAsia="PT Astra Serif" w:cs="PT Astra Serif"/>
          <w:b/>
          <w:bCs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000 000 (Двадцать семь ми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ллион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ов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) рублей 00 копеек,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из расчета: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center"/>
        <w:spacing w:after="120"/>
        <w:widowControl w:val="off"/>
        <w:tabs>
          <w:tab w:val="left" w:pos="264" w:leader="none"/>
        </w:tabs>
        <w:rPr>
          <w:rFonts w:ascii="PT Astra Serif" w:hAnsi="PT Astra Serif" w:cs="PT Astra Serif"/>
        </w:rPr>
        <w:outlineLvl w:val="2"/>
      </w:pPr>
      <w:r/>
      <w:bookmarkStart w:id="1" w:name="_GoBack"/>
      <w:r>
        <w:rPr>
          <w:rFonts w:ascii="PT Astra Serif" w:hAnsi="PT Astra Serif" w:eastAsia="PT Astra Serif" w:cs="PT Astra Serif"/>
          <w:sz w:val="24"/>
          <w:szCs w:val="24"/>
        </w:rPr>
        <w:t xml:space="preserve">3</w:t>
      </w:r>
      <w:bookmarkEnd w:id="1"/>
      <w:r>
        <w:rPr>
          <w:rFonts w:ascii="PT Astra Serif" w:hAnsi="PT Astra Serif" w:eastAsia="PT Astra Serif" w:cs="PT Astra Serif"/>
          <w:sz w:val="24"/>
          <w:szCs w:val="24"/>
        </w:rPr>
        <w:t xml:space="preserve">0 000 000 000 рублей * 0,09% = 27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000 000 рублей.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jc w:val="right"/>
        <w:spacing w:line="170" w:lineRule="exact"/>
      </w:pP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00603000000000000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4">
    <w:name w:val="Heading 1 Char"/>
    <w:basedOn w:val="700"/>
    <w:link w:val="691"/>
    <w:uiPriority w:val="9"/>
    <w:rPr>
      <w:rFonts w:ascii="Arial" w:hAnsi="Arial" w:eastAsia="Arial" w:cs="Arial"/>
      <w:sz w:val="40"/>
      <w:szCs w:val="40"/>
    </w:rPr>
  </w:style>
  <w:style w:type="character" w:styleId="655">
    <w:name w:val="Heading 2 Char"/>
    <w:basedOn w:val="700"/>
    <w:link w:val="692"/>
    <w:uiPriority w:val="9"/>
    <w:rPr>
      <w:rFonts w:ascii="Arial" w:hAnsi="Arial" w:eastAsia="Arial" w:cs="Arial"/>
      <w:sz w:val="34"/>
    </w:rPr>
  </w:style>
  <w:style w:type="character" w:styleId="656">
    <w:name w:val="Heading 3 Char"/>
    <w:basedOn w:val="700"/>
    <w:link w:val="693"/>
    <w:uiPriority w:val="9"/>
    <w:rPr>
      <w:rFonts w:ascii="Arial" w:hAnsi="Arial" w:eastAsia="Arial" w:cs="Arial"/>
      <w:sz w:val="30"/>
      <w:szCs w:val="30"/>
    </w:rPr>
  </w:style>
  <w:style w:type="character" w:styleId="657">
    <w:name w:val="Heading 4 Char"/>
    <w:basedOn w:val="700"/>
    <w:link w:val="694"/>
    <w:uiPriority w:val="9"/>
    <w:rPr>
      <w:rFonts w:ascii="Arial" w:hAnsi="Arial" w:eastAsia="Arial" w:cs="Arial"/>
      <w:b/>
      <w:bCs/>
      <w:sz w:val="26"/>
      <w:szCs w:val="26"/>
    </w:rPr>
  </w:style>
  <w:style w:type="character" w:styleId="658">
    <w:name w:val="Heading 5 Char"/>
    <w:basedOn w:val="700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659">
    <w:name w:val="Heading 6 Char"/>
    <w:basedOn w:val="700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660">
    <w:name w:val="Heading 7 Char"/>
    <w:basedOn w:val="700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1">
    <w:name w:val="Heading 8 Char"/>
    <w:basedOn w:val="70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662">
    <w:name w:val="Heading 9 Char"/>
    <w:basedOn w:val="700"/>
    <w:link w:val="699"/>
    <w:uiPriority w:val="9"/>
    <w:rPr>
      <w:rFonts w:ascii="Arial" w:hAnsi="Arial" w:eastAsia="Arial" w:cs="Arial"/>
      <w:i/>
      <w:iCs/>
      <w:sz w:val="21"/>
      <w:szCs w:val="21"/>
    </w:rPr>
  </w:style>
  <w:style w:type="character" w:styleId="663">
    <w:name w:val="Title Char"/>
    <w:basedOn w:val="700"/>
    <w:link w:val="712"/>
    <w:uiPriority w:val="10"/>
    <w:rPr>
      <w:sz w:val="48"/>
      <w:szCs w:val="48"/>
    </w:rPr>
  </w:style>
  <w:style w:type="character" w:styleId="664">
    <w:name w:val="Subtitle Char"/>
    <w:basedOn w:val="700"/>
    <w:link w:val="714"/>
    <w:uiPriority w:val="11"/>
    <w:rPr>
      <w:sz w:val="24"/>
      <w:szCs w:val="24"/>
    </w:rPr>
  </w:style>
  <w:style w:type="character" w:styleId="665">
    <w:name w:val="Quote Char"/>
    <w:link w:val="716"/>
    <w:uiPriority w:val="29"/>
    <w:rPr>
      <w:i/>
    </w:rPr>
  </w:style>
  <w:style w:type="character" w:styleId="666">
    <w:name w:val="Intense Quote Char"/>
    <w:link w:val="718"/>
    <w:uiPriority w:val="30"/>
    <w:rPr>
      <w:i/>
    </w:rPr>
  </w:style>
  <w:style w:type="character" w:styleId="667">
    <w:name w:val="Header Char"/>
    <w:basedOn w:val="700"/>
    <w:link w:val="720"/>
    <w:uiPriority w:val="99"/>
  </w:style>
  <w:style w:type="character" w:styleId="668">
    <w:name w:val="Caption Char"/>
    <w:basedOn w:val="700"/>
    <w:link w:val="724"/>
    <w:uiPriority w:val="35"/>
    <w:rPr>
      <w:b/>
      <w:bCs/>
      <w:color w:val="4f81bd" w:themeColor="accent1"/>
      <w:sz w:val="18"/>
      <w:szCs w:val="18"/>
    </w:rPr>
  </w:style>
  <w:style w:type="table" w:styleId="669">
    <w:name w:val="Plain Table 1"/>
    <w:basedOn w:val="70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2"/>
    <w:basedOn w:val="70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2">
    <w:name w:val="Plain Table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Plain Table 5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4">
    <w:name w:val="Grid Table 1 Light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6">
    <w:name w:val="Grid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7">
    <w:name w:val="Grid Table 4"/>
    <w:basedOn w:val="70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8">
    <w:name w:val="Grid Table 5 Dark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9">
    <w:name w:val="Grid Table 6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0">
    <w:name w:val="Grid Table 7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List Table 1 Light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List Table 2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3">
    <w:name w:val="List Table 3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List Table 4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List Table 5 Dark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6">
    <w:name w:val="List Table 6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7">
    <w:name w:val="List Table 7 Colorful"/>
    <w:basedOn w:val="70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88">
    <w:name w:val="Footnote Text Char"/>
    <w:link w:val="853"/>
    <w:uiPriority w:val="99"/>
    <w:rPr>
      <w:sz w:val="18"/>
    </w:rPr>
  </w:style>
  <w:style w:type="character" w:styleId="689">
    <w:name w:val="Endnote Text Char"/>
    <w:link w:val="856"/>
    <w:uiPriority w:val="99"/>
    <w:rPr>
      <w:sz w:val="20"/>
    </w:rPr>
  </w:style>
  <w:style w:type="paragraph" w:styleId="690" w:default="1">
    <w:name w:val="Normal"/>
    <w:qFormat/>
  </w:style>
  <w:style w:type="paragraph" w:styleId="691">
    <w:name w:val="Heading 1"/>
    <w:basedOn w:val="690"/>
    <w:next w:val="690"/>
    <w:link w:val="70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92">
    <w:name w:val="Heading 2"/>
    <w:basedOn w:val="690"/>
    <w:next w:val="690"/>
    <w:link w:val="70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93">
    <w:name w:val="Heading 3"/>
    <w:basedOn w:val="690"/>
    <w:next w:val="690"/>
    <w:link w:val="70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4">
    <w:name w:val="Heading 4"/>
    <w:basedOn w:val="690"/>
    <w:next w:val="690"/>
    <w:link w:val="70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690"/>
    <w:next w:val="690"/>
    <w:link w:val="70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6">
    <w:name w:val="Heading 6"/>
    <w:basedOn w:val="690"/>
    <w:next w:val="690"/>
    <w:link w:val="70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7">
    <w:name w:val="Heading 7"/>
    <w:basedOn w:val="690"/>
    <w:next w:val="690"/>
    <w:link w:val="70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8">
    <w:name w:val="Heading 8"/>
    <w:basedOn w:val="690"/>
    <w:next w:val="690"/>
    <w:link w:val="71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9">
    <w:name w:val="Heading 9"/>
    <w:basedOn w:val="690"/>
    <w:next w:val="690"/>
    <w:link w:val="71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0" w:default="1">
    <w:name w:val="Default Paragraph Font"/>
    <w:uiPriority w:val="1"/>
    <w:semiHidden/>
    <w:unhideWhenUsed/>
  </w:style>
  <w:style w:type="table" w:styleId="7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2" w:default="1">
    <w:name w:val="No List"/>
    <w:uiPriority w:val="99"/>
    <w:semiHidden/>
    <w:unhideWhenUsed/>
  </w:style>
  <w:style w:type="character" w:styleId="703" w:customStyle="1">
    <w:name w:val="Заголовок 1 Знак"/>
    <w:link w:val="691"/>
    <w:uiPriority w:val="9"/>
    <w:rPr>
      <w:rFonts w:ascii="Arial" w:hAnsi="Arial" w:eastAsia="Arial" w:cs="Arial"/>
      <w:sz w:val="40"/>
      <w:szCs w:val="40"/>
    </w:rPr>
  </w:style>
  <w:style w:type="character" w:styleId="704" w:customStyle="1">
    <w:name w:val="Заголовок 2 Знак"/>
    <w:link w:val="692"/>
    <w:uiPriority w:val="9"/>
    <w:rPr>
      <w:rFonts w:ascii="Arial" w:hAnsi="Arial" w:eastAsia="Arial" w:cs="Arial"/>
      <w:sz w:val="34"/>
    </w:rPr>
  </w:style>
  <w:style w:type="character" w:styleId="705" w:customStyle="1">
    <w:name w:val="Заголовок 3 Знак"/>
    <w:link w:val="693"/>
    <w:uiPriority w:val="9"/>
    <w:rPr>
      <w:rFonts w:ascii="Arial" w:hAnsi="Arial" w:eastAsia="Arial" w:cs="Arial"/>
      <w:sz w:val="30"/>
      <w:szCs w:val="30"/>
    </w:rPr>
  </w:style>
  <w:style w:type="character" w:styleId="706" w:customStyle="1">
    <w:name w:val="Заголовок 4 Знак"/>
    <w:link w:val="694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Заголовок 5 Знак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Заголовок 6 Знак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Заголовок 7 Знак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Заголовок 8 Знак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Заголовок 9 Знак"/>
    <w:link w:val="699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Title"/>
    <w:basedOn w:val="690"/>
    <w:next w:val="690"/>
    <w:link w:val="713"/>
    <w:uiPriority w:val="10"/>
    <w:qFormat/>
    <w:pPr>
      <w:contextualSpacing/>
      <w:spacing w:before="300"/>
    </w:pPr>
    <w:rPr>
      <w:sz w:val="48"/>
      <w:szCs w:val="48"/>
    </w:rPr>
  </w:style>
  <w:style w:type="character" w:styleId="713" w:customStyle="1">
    <w:name w:val="Название Знак"/>
    <w:link w:val="712"/>
    <w:uiPriority w:val="10"/>
    <w:rPr>
      <w:sz w:val="48"/>
      <w:szCs w:val="48"/>
    </w:rPr>
  </w:style>
  <w:style w:type="paragraph" w:styleId="714">
    <w:name w:val="Subtitle"/>
    <w:basedOn w:val="690"/>
    <w:next w:val="690"/>
    <w:link w:val="715"/>
    <w:uiPriority w:val="11"/>
    <w:qFormat/>
    <w:pPr>
      <w:spacing w:before="200"/>
    </w:pPr>
    <w:rPr>
      <w:sz w:val="24"/>
      <w:szCs w:val="24"/>
    </w:rPr>
  </w:style>
  <w:style w:type="character" w:styleId="715" w:customStyle="1">
    <w:name w:val="Подзаголовок Знак"/>
    <w:link w:val="714"/>
    <w:uiPriority w:val="11"/>
    <w:rPr>
      <w:sz w:val="24"/>
      <w:szCs w:val="24"/>
    </w:rPr>
  </w:style>
  <w:style w:type="paragraph" w:styleId="716">
    <w:name w:val="Quote"/>
    <w:basedOn w:val="690"/>
    <w:next w:val="690"/>
    <w:link w:val="717"/>
    <w:uiPriority w:val="29"/>
    <w:qFormat/>
    <w:pPr>
      <w:ind w:left="720" w:right="720"/>
    </w:pPr>
    <w:rPr>
      <w:i/>
    </w:rPr>
  </w:style>
  <w:style w:type="character" w:styleId="717" w:customStyle="1">
    <w:name w:val="Цитата 2 Знак"/>
    <w:link w:val="716"/>
    <w:uiPriority w:val="29"/>
    <w:rPr>
      <w:i/>
    </w:rPr>
  </w:style>
  <w:style w:type="paragraph" w:styleId="718">
    <w:name w:val="Intense Quote"/>
    <w:basedOn w:val="690"/>
    <w:next w:val="690"/>
    <w:link w:val="71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9" w:customStyle="1">
    <w:name w:val="Выделенная цитата Знак"/>
    <w:link w:val="718"/>
    <w:uiPriority w:val="30"/>
    <w:rPr>
      <w:i/>
    </w:rPr>
  </w:style>
  <w:style w:type="paragraph" w:styleId="720">
    <w:name w:val="Header"/>
    <w:basedOn w:val="690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1" w:customStyle="1">
    <w:name w:val="Верхний колонтитул Знак"/>
    <w:link w:val="720"/>
    <w:uiPriority w:val="99"/>
  </w:style>
  <w:style w:type="paragraph" w:styleId="722">
    <w:name w:val="Footer"/>
    <w:basedOn w:val="690"/>
    <w:link w:val="72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3" w:customStyle="1">
    <w:name w:val="Footer Char"/>
    <w:uiPriority w:val="99"/>
  </w:style>
  <w:style w:type="paragraph" w:styleId="724">
    <w:name w:val="Caption"/>
    <w:basedOn w:val="690"/>
    <w:next w:val="690"/>
    <w:link w:val="668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25" w:customStyle="1">
    <w:name w:val="Нижний колонтитул Знак"/>
    <w:link w:val="722"/>
    <w:uiPriority w:val="99"/>
  </w:style>
  <w:style w:type="table" w:styleId="726">
    <w:name w:val="Table Grid"/>
    <w:basedOn w:val="70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7" w:customStyle="1">
    <w:name w:val="Table Grid Light"/>
    <w:basedOn w:val="70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8" w:customStyle="1">
    <w:name w:val="Таблица простая 11"/>
    <w:basedOn w:val="70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 w:customStyle="1">
    <w:name w:val="Таблица простая 21"/>
    <w:basedOn w:val="70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Таблица простая 3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 w:customStyle="1">
    <w:name w:val="Таблица простая 4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Таблица простая 5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 w:customStyle="1">
    <w:name w:val="Таблица-сетка 1 светл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Таблица-сетка 2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Таблица-сетка 3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Таблица-сетка 41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 w:customStyle="1">
    <w:name w:val="Grid Table 4 - Accent 1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56" w:customStyle="1">
    <w:name w:val="Grid Table 4 - Accent 2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57" w:customStyle="1">
    <w:name w:val="Grid Table 4 - Accent 3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58" w:customStyle="1">
    <w:name w:val="Grid Table 4 - Accent 4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59" w:customStyle="1">
    <w:name w:val="Grid Table 4 - Accent 5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60" w:customStyle="1">
    <w:name w:val="Grid Table 4 - Accent 6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61" w:customStyle="1">
    <w:name w:val="Таблица-сетка 5 тем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68" w:customStyle="1">
    <w:name w:val="Таблица-сетка 6 цвет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9" w:customStyle="1">
    <w:name w:val="Grid Table 6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70" w:customStyle="1">
    <w:name w:val="Grid Table 6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71" w:customStyle="1">
    <w:name w:val="Grid Table 6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72" w:customStyle="1">
    <w:name w:val="Grid Table 6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73" w:customStyle="1">
    <w:name w:val="Grid Table 6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74" w:customStyle="1">
    <w:name w:val="Grid Table 6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75" w:customStyle="1">
    <w:name w:val="Таблица-сетка 7 цвет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Список-таблица 1 светлая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1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2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3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4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5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6"/>
    <w:basedOn w:val="70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Список-таблица 2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96" w:customStyle="1">
    <w:name w:val="Список-таблица 3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Список-таблица 4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Список-таблица 5 тем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Список-таблица 6 цвет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8" w:customStyle="1">
    <w:name w:val="List Table 6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19" w:customStyle="1">
    <w:name w:val="List Table 6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20" w:customStyle="1">
    <w:name w:val="List Table 6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21" w:customStyle="1">
    <w:name w:val="List Table 6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22" w:customStyle="1">
    <w:name w:val="List Table 6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23" w:customStyle="1">
    <w:name w:val="List Table 6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24" w:customStyle="1">
    <w:name w:val="Список-таблица 7 цветная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ned - Accent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Lined - Accent 1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33" w:customStyle="1">
    <w:name w:val="Lined - Accent 2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4" w:customStyle="1">
    <w:name w:val="Lined - Accent 3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5" w:customStyle="1">
    <w:name w:val="Lined - Accent 4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6" w:customStyle="1">
    <w:name w:val="Lined - Accent 5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37" w:customStyle="1">
    <w:name w:val="Lined - Accent 6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8" w:customStyle="1">
    <w:name w:val="Bordered &amp; Lined - Accent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9" w:customStyle="1">
    <w:name w:val="Bordered &amp; Lined - Accent 1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40" w:customStyle="1">
    <w:name w:val="Bordered &amp; Lined - Accent 2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1" w:customStyle="1">
    <w:name w:val="Bordered &amp; Lined - Accent 3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2" w:customStyle="1">
    <w:name w:val="Bordered &amp; Lined - Accent 4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3" w:customStyle="1">
    <w:name w:val="Bordered &amp; Lined - Accent 5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44" w:customStyle="1">
    <w:name w:val="Bordered &amp; Lined - Accent 6"/>
    <w:basedOn w:val="70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5" w:customStyle="1">
    <w:name w:val="Bordered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6" w:customStyle="1">
    <w:name w:val="Bordered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47" w:customStyle="1">
    <w:name w:val="Bordered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48" w:customStyle="1">
    <w:name w:val="Bordered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49" w:customStyle="1">
    <w:name w:val="Bordered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50" w:customStyle="1">
    <w:name w:val="Bordered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51" w:customStyle="1">
    <w:name w:val="Bordered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52">
    <w:name w:val="Hyperlink"/>
    <w:uiPriority w:val="99"/>
    <w:unhideWhenUsed/>
    <w:rPr>
      <w:color w:val="0563c1" w:themeColor="hyperlink"/>
      <w:u w:val="single"/>
    </w:rPr>
  </w:style>
  <w:style w:type="paragraph" w:styleId="853">
    <w:name w:val="footnote text"/>
    <w:basedOn w:val="690"/>
    <w:link w:val="854"/>
    <w:uiPriority w:val="99"/>
    <w:semiHidden/>
    <w:unhideWhenUsed/>
    <w:pPr>
      <w:spacing w:after="40" w:line="240" w:lineRule="auto"/>
    </w:pPr>
    <w:rPr>
      <w:sz w:val="18"/>
    </w:rPr>
  </w:style>
  <w:style w:type="character" w:styleId="854" w:customStyle="1">
    <w:name w:val="Текст сноски Знак"/>
    <w:link w:val="853"/>
    <w:uiPriority w:val="99"/>
    <w:rPr>
      <w:sz w:val="18"/>
    </w:rPr>
  </w:style>
  <w:style w:type="character" w:styleId="855">
    <w:name w:val="footnote reference"/>
    <w:uiPriority w:val="99"/>
    <w:unhideWhenUsed/>
    <w:rPr>
      <w:vertAlign w:val="superscript"/>
    </w:rPr>
  </w:style>
  <w:style w:type="paragraph" w:styleId="856">
    <w:name w:val="endnote text"/>
    <w:basedOn w:val="690"/>
    <w:link w:val="857"/>
    <w:uiPriority w:val="99"/>
    <w:semiHidden/>
    <w:unhideWhenUsed/>
    <w:pPr>
      <w:spacing w:after="0" w:line="240" w:lineRule="auto"/>
    </w:pPr>
    <w:rPr>
      <w:sz w:val="20"/>
    </w:rPr>
  </w:style>
  <w:style w:type="character" w:styleId="857" w:customStyle="1">
    <w:name w:val="Текст концевой сноски Знак"/>
    <w:link w:val="856"/>
    <w:uiPriority w:val="99"/>
    <w:rPr>
      <w:sz w:val="20"/>
    </w:rPr>
  </w:style>
  <w:style w:type="character" w:styleId="858">
    <w:name w:val="endnote reference"/>
    <w:uiPriority w:val="99"/>
    <w:semiHidden/>
    <w:unhideWhenUsed/>
    <w:rPr>
      <w:vertAlign w:val="superscript"/>
    </w:rPr>
  </w:style>
  <w:style w:type="paragraph" w:styleId="859">
    <w:name w:val="toc 1"/>
    <w:basedOn w:val="690"/>
    <w:next w:val="690"/>
    <w:uiPriority w:val="39"/>
    <w:unhideWhenUsed/>
    <w:pPr>
      <w:spacing w:after="57"/>
    </w:pPr>
  </w:style>
  <w:style w:type="paragraph" w:styleId="860">
    <w:name w:val="toc 2"/>
    <w:basedOn w:val="690"/>
    <w:next w:val="690"/>
    <w:uiPriority w:val="39"/>
    <w:unhideWhenUsed/>
    <w:pPr>
      <w:ind w:left="283"/>
      <w:spacing w:after="57"/>
    </w:pPr>
  </w:style>
  <w:style w:type="paragraph" w:styleId="861">
    <w:name w:val="toc 3"/>
    <w:basedOn w:val="690"/>
    <w:next w:val="690"/>
    <w:uiPriority w:val="39"/>
    <w:unhideWhenUsed/>
    <w:pPr>
      <w:ind w:left="567"/>
      <w:spacing w:after="57"/>
    </w:pPr>
  </w:style>
  <w:style w:type="paragraph" w:styleId="862">
    <w:name w:val="toc 4"/>
    <w:basedOn w:val="690"/>
    <w:next w:val="690"/>
    <w:uiPriority w:val="39"/>
    <w:unhideWhenUsed/>
    <w:pPr>
      <w:ind w:left="850"/>
      <w:spacing w:after="57"/>
    </w:pPr>
  </w:style>
  <w:style w:type="paragraph" w:styleId="863">
    <w:name w:val="toc 5"/>
    <w:basedOn w:val="690"/>
    <w:next w:val="690"/>
    <w:uiPriority w:val="39"/>
    <w:unhideWhenUsed/>
    <w:pPr>
      <w:ind w:left="1134"/>
      <w:spacing w:after="57"/>
    </w:pPr>
  </w:style>
  <w:style w:type="paragraph" w:styleId="864">
    <w:name w:val="toc 6"/>
    <w:basedOn w:val="690"/>
    <w:next w:val="690"/>
    <w:uiPriority w:val="39"/>
    <w:unhideWhenUsed/>
    <w:pPr>
      <w:ind w:left="1417"/>
      <w:spacing w:after="57"/>
    </w:pPr>
  </w:style>
  <w:style w:type="paragraph" w:styleId="865">
    <w:name w:val="toc 7"/>
    <w:basedOn w:val="690"/>
    <w:next w:val="690"/>
    <w:uiPriority w:val="39"/>
    <w:unhideWhenUsed/>
    <w:pPr>
      <w:ind w:left="1701"/>
      <w:spacing w:after="57"/>
    </w:pPr>
  </w:style>
  <w:style w:type="paragraph" w:styleId="866">
    <w:name w:val="toc 8"/>
    <w:basedOn w:val="690"/>
    <w:next w:val="690"/>
    <w:uiPriority w:val="39"/>
    <w:unhideWhenUsed/>
    <w:pPr>
      <w:ind w:left="1984"/>
      <w:spacing w:after="57"/>
    </w:pPr>
  </w:style>
  <w:style w:type="paragraph" w:styleId="867">
    <w:name w:val="toc 9"/>
    <w:basedOn w:val="690"/>
    <w:next w:val="690"/>
    <w:uiPriority w:val="39"/>
    <w:unhideWhenUsed/>
    <w:pPr>
      <w:ind w:left="2268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690"/>
    <w:next w:val="690"/>
    <w:uiPriority w:val="99"/>
    <w:unhideWhenUsed/>
    <w:pPr>
      <w:spacing w:after="0"/>
    </w:pPr>
  </w:style>
  <w:style w:type="paragraph" w:styleId="870">
    <w:name w:val="No Spacing"/>
    <w:basedOn w:val="690"/>
    <w:uiPriority w:val="1"/>
    <w:qFormat/>
    <w:pPr>
      <w:spacing w:after="0" w:line="240" w:lineRule="auto"/>
    </w:pPr>
  </w:style>
  <w:style w:type="paragraph" w:styleId="871">
    <w:name w:val="List Paragraph"/>
    <w:basedOn w:val="690"/>
    <w:uiPriority w:val="34"/>
    <w:qFormat/>
    <w:pPr>
      <w:contextualSpacing/>
      <w:ind w:left="720"/>
    </w:pPr>
  </w:style>
  <w:style w:type="paragraph" w:styleId="872" w:customStyle="1">
    <w:name w:val="ConsPlusNormal"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 w:eastAsia="Calibri" w:cs="Arial"/>
      <w:sz w:val="20"/>
      <w:szCs w:val="20"/>
    </w:rPr>
  </w:style>
  <w:style w:type="paragraph" w:styleId="873">
    <w:name w:val="Balloon Text"/>
    <w:basedOn w:val="690"/>
    <w:link w:val="87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4" w:customStyle="1">
    <w:name w:val="Текст выноски Знак"/>
    <w:basedOn w:val="700"/>
    <w:link w:val="873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consultantplus://offline/ref=80329293FB7B7A185AF35FC809B34E00396BA6D5B5538A4F503A5B6EBBDAK4J" TargetMode="External"/><Relationship Id="rId9" Type="http://schemas.openxmlformats.org/officeDocument/2006/relationships/image" Target="media/image1.png"/><Relationship Id="rId10" Type="http://schemas.openxmlformats.org/officeDocument/2006/relationships/image" Target="media/media1.svg"/><Relationship Id="rId11" Type="http://schemas.openxmlformats.org/officeDocument/2006/relationships/image" Target="media/image2.png"/><Relationship Id="rId12" Type="http://schemas.openxmlformats.org/officeDocument/2006/relationships/image" Target="media/media2.sv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Hewlett-Packard 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koa</cp:lastModifiedBy>
  <cp:revision>14</cp:revision>
  <dcterms:created xsi:type="dcterms:W3CDTF">2024-08-29T04:52:00Z</dcterms:created>
  <dcterms:modified xsi:type="dcterms:W3CDTF">2025-12-02T07:56:46Z</dcterms:modified>
</cp:coreProperties>
</file>