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003" w:rsidRDefault="008B20D2">
      <w:pPr>
        <w:pStyle w:val="13"/>
        <w:ind w:firstLine="720"/>
        <w:jc w:val="right"/>
        <w:rPr>
          <w:rFonts w:ascii="PT Astra Serif" w:hAnsi="PT Astra Serif"/>
          <w:color w:val="auto"/>
          <w:sz w:val="24"/>
          <w:szCs w:val="24"/>
        </w:rPr>
      </w:pPr>
      <w:r>
        <w:rPr>
          <w:rFonts w:ascii="PT Astra Serif" w:hAnsi="PT Astra Serif"/>
          <w:color w:val="auto"/>
          <w:sz w:val="24"/>
          <w:szCs w:val="24"/>
        </w:rPr>
        <w:t>ПРОЕКТ</w:t>
      </w:r>
    </w:p>
    <w:p w:rsidR="000F3003" w:rsidRDefault="008B20D2">
      <w:pPr>
        <w:pStyle w:val="13"/>
        <w:ind w:firstLine="720"/>
        <w:jc w:val="right"/>
        <w:rPr>
          <w:rFonts w:ascii="PT Astra Serif" w:hAnsi="PT Astra Serif"/>
          <w:color w:val="auto"/>
          <w:sz w:val="24"/>
          <w:szCs w:val="24"/>
        </w:rPr>
      </w:pPr>
      <w:r>
        <w:rPr>
          <w:rFonts w:ascii="PT Astra Serif" w:hAnsi="PT Astra Serif"/>
          <w:color w:val="auto"/>
          <w:sz w:val="24"/>
          <w:szCs w:val="24"/>
        </w:rPr>
        <w:t>Приложение к постановлению</w:t>
      </w:r>
    </w:p>
    <w:p w:rsidR="000F3003" w:rsidRDefault="008B20D2">
      <w:pPr>
        <w:pStyle w:val="af0"/>
        <w:ind w:firstLine="720"/>
        <w:jc w:val="right"/>
        <w:rPr>
          <w:rFonts w:ascii="PT Astra Serif" w:hAnsi="PT Astra Serif"/>
          <w:szCs w:val="24"/>
        </w:rPr>
      </w:pPr>
      <w:r>
        <w:rPr>
          <w:rFonts w:ascii="PT Astra Serif" w:hAnsi="PT Astra Serif"/>
          <w:szCs w:val="24"/>
        </w:rPr>
        <w:t>Законодательной Думы</w:t>
      </w:r>
    </w:p>
    <w:p w:rsidR="000F3003" w:rsidRDefault="008B20D2">
      <w:pPr>
        <w:pStyle w:val="af0"/>
        <w:ind w:firstLine="720"/>
        <w:jc w:val="right"/>
        <w:rPr>
          <w:rFonts w:ascii="PT Astra Serif" w:hAnsi="PT Astra Serif"/>
          <w:szCs w:val="24"/>
        </w:rPr>
      </w:pPr>
      <w:r>
        <w:rPr>
          <w:rFonts w:ascii="PT Astra Serif" w:hAnsi="PT Astra Serif"/>
          <w:szCs w:val="24"/>
        </w:rPr>
        <w:t xml:space="preserve"> Томской области</w:t>
      </w:r>
    </w:p>
    <w:p w:rsidR="000F3003" w:rsidRDefault="008B20D2">
      <w:pPr>
        <w:pStyle w:val="af0"/>
        <w:tabs>
          <w:tab w:val="left" w:pos="5812"/>
        </w:tabs>
        <w:ind w:firstLine="720"/>
        <w:jc w:val="right"/>
        <w:rPr>
          <w:rFonts w:ascii="PT Astra Serif" w:hAnsi="PT Astra Serif"/>
          <w:szCs w:val="24"/>
        </w:rPr>
      </w:pPr>
      <w:r>
        <w:rPr>
          <w:rFonts w:ascii="PT Astra Serif" w:hAnsi="PT Astra Serif"/>
          <w:szCs w:val="24"/>
        </w:rPr>
        <w:t>от __________№_____</w:t>
      </w:r>
    </w:p>
    <w:p w:rsidR="000F3003" w:rsidRDefault="000F3003">
      <w:pPr>
        <w:pStyle w:val="ConsPlusNormal"/>
        <w:jc w:val="both"/>
        <w:outlineLvl w:val="0"/>
        <w:rPr>
          <w:rFonts w:ascii="PT Astra Serif" w:hAnsi="PT Astra Serif" w:cs="Times New Roman"/>
          <w:sz w:val="28"/>
          <w:szCs w:val="28"/>
        </w:rPr>
      </w:pPr>
    </w:p>
    <w:p w:rsidR="000F3003" w:rsidRDefault="000F3003">
      <w:pPr>
        <w:pStyle w:val="ConsPlusNormal"/>
        <w:jc w:val="center"/>
        <w:rPr>
          <w:rFonts w:ascii="PT Astra Serif" w:hAnsi="PT Astra Serif" w:cs="Times New Roman"/>
          <w:b/>
          <w:bCs/>
          <w:sz w:val="26"/>
          <w:szCs w:val="26"/>
        </w:rPr>
      </w:pPr>
    </w:p>
    <w:p w:rsidR="000F3003" w:rsidRDefault="000F3003">
      <w:pPr>
        <w:spacing w:line="360" w:lineRule="auto"/>
        <w:jc w:val="center"/>
        <w:rPr>
          <w:rFonts w:ascii="PT Astra Serif" w:hAnsi="PT Astra Serif"/>
          <w:b/>
          <w:sz w:val="32"/>
          <w:szCs w:val="32"/>
        </w:rPr>
      </w:pPr>
    </w:p>
    <w:p w:rsidR="000F3003" w:rsidRDefault="008B20D2">
      <w:pPr>
        <w:spacing w:line="360" w:lineRule="auto"/>
        <w:jc w:val="center"/>
        <w:rPr>
          <w:rFonts w:ascii="PT Astra Serif" w:hAnsi="PT Astra Serif"/>
          <w:b/>
          <w:sz w:val="32"/>
          <w:szCs w:val="32"/>
        </w:rPr>
      </w:pPr>
      <w:r>
        <w:rPr>
          <w:rFonts w:ascii="PT Astra Serif" w:hAnsi="PT Astra Serif"/>
          <w:b/>
          <w:sz w:val="32"/>
          <w:szCs w:val="32"/>
        </w:rPr>
        <w:t>ЗАКОН ТОМСКОЙ ОБЛАСТИ</w:t>
      </w:r>
    </w:p>
    <w:p w:rsidR="000F3003" w:rsidRDefault="008B20D2">
      <w:pPr>
        <w:jc w:val="center"/>
        <w:rPr>
          <w:rFonts w:ascii="PT Astra Serif" w:hAnsi="PT Astra Serif"/>
          <w:b/>
        </w:rPr>
      </w:pPr>
      <w:r>
        <w:rPr>
          <w:rFonts w:ascii="PT Astra Serif" w:hAnsi="PT Astra Serif"/>
          <w:b/>
          <w:sz w:val="32"/>
          <w:szCs w:val="32"/>
        </w:rPr>
        <w:t>Об областном бюджете на 2026 год и на плановый период 2027 и 2028 годов</w:t>
      </w:r>
    </w:p>
    <w:p w:rsidR="000F3003" w:rsidRDefault="000F3003">
      <w:pPr>
        <w:spacing w:line="360" w:lineRule="auto"/>
        <w:jc w:val="both"/>
        <w:rPr>
          <w:rFonts w:ascii="PT Astra Serif" w:hAnsi="PT Astra Serif"/>
          <w:sz w:val="27"/>
          <w:szCs w:val="27"/>
        </w:rPr>
      </w:pPr>
    </w:p>
    <w:p w:rsidR="000F3003" w:rsidRDefault="008B20D2">
      <w:pPr>
        <w:spacing w:line="360" w:lineRule="auto"/>
        <w:ind w:firstLine="709"/>
        <w:jc w:val="both"/>
        <w:rPr>
          <w:rFonts w:ascii="PT Astra Serif" w:hAnsi="PT Astra Serif"/>
          <w:b/>
          <w:sz w:val="27"/>
          <w:szCs w:val="27"/>
        </w:rPr>
      </w:pPr>
      <w:r>
        <w:rPr>
          <w:rFonts w:ascii="PT Astra Serif" w:hAnsi="PT Astra Serif"/>
          <w:b/>
          <w:sz w:val="27"/>
          <w:szCs w:val="27"/>
        </w:rPr>
        <w:t>Статья 1</w:t>
      </w:r>
    </w:p>
    <w:p w:rsidR="000F3003" w:rsidRDefault="000F3003">
      <w:pPr>
        <w:spacing w:line="360" w:lineRule="auto"/>
        <w:ind w:firstLine="709"/>
        <w:jc w:val="both"/>
        <w:rPr>
          <w:rFonts w:ascii="PT Astra Serif" w:hAnsi="PT Astra Serif"/>
          <w:b/>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1. Утвердить основные характеристики областного бюджета на 2026 год:</w:t>
      </w:r>
    </w:p>
    <w:p w:rsidR="000F3003" w:rsidRDefault="008B20D2">
      <w:pPr>
        <w:spacing w:line="360" w:lineRule="auto"/>
        <w:ind w:firstLine="709"/>
        <w:jc w:val="both"/>
        <w:rPr>
          <w:rFonts w:ascii="PT Astra Serif" w:hAnsi="PT Astra Serif"/>
          <w:sz w:val="27"/>
          <w:szCs w:val="27"/>
        </w:rPr>
      </w:pPr>
      <w:bookmarkStart w:id="0" w:name="Par22"/>
      <w:bookmarkEnd w:id="0"/>
      <w:r>
        <w:rPr>
          <w:rFonts w:ascii="PT Astra Serif" w:hAnsi="PT Astra Serif"/>
          <w:sz w:val="27"/>
          <w:szCs w:val="27"/>
        </w:rPr>
        <w:t>1) общий объем доходов областного бюджета в сумме 109 630 833,9 тыс. рублей, в том числе налоговые и неналоговые доходы в сумме 96 221 487,8 тыс. рублей, безвозмездные поступления в сумме 13 409 346,1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2) общий объем расходов областного бюджета в сумме 109 630 833,9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3) дефицит областного бюджета в сумме 0,0 тыс. рублей.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2. Утвердить основные характеристики областного бюджета на 2027 год и на 2028 год:</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1) общий объем доходов областного бюджета на 2027 год в сумме 107 808 402,9 тыс. рублей, в том числе налоговые и неналоговые доходы в сумме 100 070 347,3 тыс. рублей, безвозмездные поступления в сумме 7 738 055,6 тыс. рублей и на 2028 год в сумме 109 309 458,1 тыс. рублей, в том числе налоговые и неналоговые доходы в сумме 101 571 402,5 тыс. рублей, безвозмездные поступления в сумме 7 738 055,6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2) общий объем расходов областного бюджета на 2027 год в сумме 105 308 402,9 тыс. рублей, в том числе условно утвержденные расходы в сумме 6 326 107,4 тыс. рублей, и на 2028 год в сумме 106 809 458,1 тыс. рублей, в том числе условно утвержденные расходы в сумме 9 714 179,0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3) профицит областного бюджета на 2027 год в сумме 2 500 000,0 тыс. рублей и профицит областного бюджета на 2028 год  в сумме 2 500 000,0 тыс. рублей.</w:t>
      </w:r>
    </w:p>
    <w:p w:rsidR="000F3003" w:rsidRDefault="008B20D2">
      <w:pPr>
        <w:spacing w:line="360" w:lineRule="auto"/>
        <w:ind w:firstLine="709"/>
        <w:jc w:val="both"/>
        <w:rPr>
          <w:rFonts w:ascii="PT Astra Serif" w:hAnsi="PT Astra Serif"/>
          <w:b/>
          <w:bCs/>
          <w:sz w:val="27"/>
          <w:szCs w:val="27"/>
        </w:rPr>
      </w:pPr>
      <w:r>
        <w:rPr>
          <w:rFonts w:ascii="PT Astra Serif" w:hAnsi="PT Astra Serif"/>
          <w:sz w:val="27"/>
          <w:szCs w:val="27"/>
        </w:rPr>
        <w:br w:type="column"/>
      </w:r>
      <w:r>
        <w:rPr>
          <w:rFonts w:ascii="PT Astra Serif" w:hAnsi="PT Astra Serif"/>
          <w:b/>
          <w:bCs/>
          <w:sz w:val="27"/>
          <w:szCs w:val="27"/>
        </w:rPr>
        <w:lastRenderedPageBreak/>
        <w:t>Статья 2</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Утвердить </w:t>
      </w:r>
      <w:hyperlink r:id="rId9" w:tooltip="consultantplus://offline/ref=D2F429F31CDEEC55E5308ABCBA6D69AE31466B1AE366E97C4FACAF286E066C7C87011B2C7C51250FE30384662422488729745B827AF8BC668B9C92C235f9C" w:history="1">
        <w:r>
          <w:rPr>
            <w:rFonts w:ascii="PT Astra Serif" w:hAnsi="PT Astra Serif"/>
            <w:sz w:val="27"/>
            <w:szCs w:val="27"/>
          </w:rPr>
          <w:t>нормативы</w:t>
        </w:r>
      </w:hyperlink>
      <w:r>
        <w:rPr>
          <w:rFonts w:ascii="PT Astra Serif" w:hAnsi="PT Astra Serif"/>
          <w:sz w:val="27"/>
          <w:szCs w:val="27"/>
        </w:rPr>
        <w:t xml:space="preserve"> распределения доходов между областным и местными бюджетами на 2026 год и на плановый период 2027 и 2028 годов согласно приложению 1 к настоящему Закону.</w:t>
      </w:r>
    </w:p>
    <w:p w:rsidR="000F3003" w:rsidRDefault="000F300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3</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Установить дополнительные </w:t>
      </w:r>
      <w:hyperlink r:id="rId10" w:tooltip="consultantplus://offline/ref=D2F429F31CDEEC55E5308ABCBA6D69AE31466B1AE366E97C4FACAF286E066C7C87011B2C7C51250FE30387642722488729745B827AF8BC668B9C92C235f9C" w:history="1">
        <w:r>
          <w:rPr>
            <w:rFonts w:ascii="PT Astra Serif" w:hAnsi="PT Astra Serif"/>
            <w:sz w:val="27"/>
            <w:szCs w:val="27"/>
          </w:rPr>
          <w:t>нормативы</w:t>
        </w:r>
      </w:hyperlink>
      <w:r>
        <w:rPr>
          <w:rFonts w:ascii="PT Astra Serif" w:hAnsi="PT Astra Serif"/>
          <w:sz w:val="27"/>
          <w:szCs w:val="27"/>
        </w:rPr>
        <w:t xml:space="preserve"> отчислений в бюджеты муниципальных районов, муниципальных округов, городских округов от налога на доходы физических лиц, подлежащего зачислению в областной бюджет, заменяющие дотации (части дотаций) на выравнивание бюджетной обеспеченности муниципальных образований на 2026 год и на плановый период 2027 и 2028 годов согласно приложению 2 к настоящему Закону.</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4</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Установить дифференцированные </w:t>
      </w:r>
      <w:hyperlink r:id="rId11" w:tooltip="consultantplus://offline/ref=D2F429F31CDEEC55E5308ABCBA6D69AE31466B1AE366E97C4FACAF286E066C7C87011B2C7C51250FE30387672122488729745B827AF8BC668B9C92C235f9C" w:history="1">
        <w:r>
          <w:rPr>
            <w:rFonts w:ascii="PT Astra Serif" w:hAnsi="PT Astra Serif"/>
            <w:sz w:val="27"/>
            <w:szCs w:val="27"/>
          </w:rPr>
          <w:t>нормативы</w:t>
        </w:r>
      </w:hyperlink>
      <w:r>
        <w:rPr>
          <w:rFonts w:ascii="PT Astra Serif" w:hAnsi="PT Astra Serif"/>
          <w:sz w:val="27"/>
          <w:szCs w:val="27"/>
        </w:rPr>
        <w:t xml:space="preserve"> отчислений в местные бюджеты от акцизов на автомобильный и прямогонный бензин, дизельное топливо, моторные масла для дизельных и (или) карбюраторных (</w:t>
      </w:r>
      <w:proofErr w:type="spellStart"/>
      <w:r>
        <w:rPr>
          <w:rFonts w:ascii="PT Astra Serif" w:hAnsi="PT Astra Serif"/>
          <w:sz w:val="27"/>
          <w:szCs w:val="27"/>
        </w:rPr>
        <w:t>инжекторных</w:t>
      </w:r>
      <w:proofErr w:type="spellEnd"/>
      <w:r>
        <w:rPr>
          <w:rFonts w:ascii="PT Astra Serif" w:hAnsi="PT Astra Serif"/>
          <w:sz w:val="27"/>
          <w:szCs w:val="27"/>
        </w:rPr>
        <w:t>) двигателей, производимые на территории Российской Федерации, в размере 10 процентов налоговых доходов консолидированного бюджета Томской области от указанного налога на 2026 год и на плановый период 2027 и 2028 годов согласно приложению 3 к настоящему Закону.</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5</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8"/>
        <w:jc w:val="both"/>
        <w:rPr>
          <w:rFonts w:ascii="PT Astra Serif" w:eastAsia="Calibri" w:hAnsi="PT Astra Serif" w:cs="PT Astra Serif"/>
          <w:sz w:val="27"/>
          <w:szCs w:val="27"/>
        </w:rPr>
      </w:pPr>
      <w:r>
        <w:rPr>
          <w:rFonts w:ascii="PT Astra Serif" w:hAnsi="PT Astra Serif"/>
          <w:sz w:val="27"/>
          <w:szCs w:val="27"/>
        </w:rPr>
        <w:t xml:space="preserve">Установить, что остатки средств областного бюджета на начало текущего финансового года, </w:t>
      </w:r>
      <w:r>
        <w:rPr>
          <w:rFonts w:ascii="PT Astra Serif" w:eastAsia="Calibri" w:hAnsi="PT Astra Serif" w:cs="PT Astra Serif"/>
          <w:sz w:val="27"/>
          <w:szCs w:val="27"/>
        </w:rPr>
        <w:t xml:space="preserve">за исключением остатков бюджетных ассигнований дорожного фонда Томской области, остатков бюджетных ассигнований от платы за негативное воздействие на окружающую среду, административных штрафов за административные правонарушения в области охраны окружающей среды и природопользования, </w:t>
      </w:r>
      <w:r>
        <w:rPr>
          <w:rFonts w:ascii="PT Astra Serif" w:eastAsia="Calibri" w:hAnsi="PT Astra Serif" w:cs="PT Astra Serif"/>
          <w:sz w:val="27"/>
          <w:szCs w:val="27"/>
        </w:rPr>
        <w:lastRenderedPageBreak/>
        <w:t xml:space="preserve">платежей по искам о возмещении вреда, причиненного окружающей среде вследствие нарушений обязательных требований, а также платежей, уплачиваемых при добровольном возмещении вреда, причиненного окружающей среде вследствие нарушений обязательных требований, и остатков неиспользованных межбюджетных трансфертов, полученных бюджетом Томской области в форме субсидий, субвенций и иных межбюджетных трансфертов, имеющих целевое назначение, в объеме до 100 процентов могут направляться на покрытие временных кассовых разрывов, возникающих при исполнении областного бюджета, и на увеличение бюджетных ассигнований на оплату заключенных областными государственными казенными учреждениями от имени Томской области государственных контрактов на приобретение основных средств, на приобретение объектов недвижимого имущества в государственную собственность Томской области, на выполнение работ по строительству (реконструкции), по проведению ремонта объектов капитального строительства государственной собственности Томской области, </w:t>
      </w:r>
      <w:r>
        <w:rPr>
          <w:rFonts w:ascii="PT Astra Serif" w:eastAsia="Calibri" w:hAnsi="PT Astra Serif"/>
          <w:sz w:val="27"/>
          <w:szCs w:val="27"/>
        </w:rPr>
        <w:t xml:space="preserve">на выполнение работ в рамках реализации специального инфраструктурного проекта, </w:t>
      </w:r>
      <w:r>
        <w:rPr>
          <w:rFonts w:ascii="PT Astra Serif" w:eastAsia="Calibri" w:hAnsi="PT Astra Serif" w:cs="PT Astra Serif"/>
          <w:sz w:val="27"/>
          <w:szCs w:val="27"/>
        </w:rPr>
        <w:t>на разработку проектной документации, на реализацию мероприятий по информатизации в части информационных систем и информационно-коммуникационной инфраструктуры, на разработку и актуализацию документов стратегического  планирования Томской области, подлежавших в соответствии с условиями этих государственных контрактов оплате в отчетном финансовом году в объеме, не превышающем сумму остатка неиспользованных бюджетных ассигнований на указанные цели.</w:t>
      </w:r>
    </w:p>
    <w:p w:rsidR="000F3003" w:rsidRDefault="000F3003">
      <w:pPr>
        <w:spacing w:line="360" w:lineRule="auto"/>
        <w:ind w:firstLine="708"/>
        <w:jc w:val="both"/>
        <w:rPr>
          <w:rFonts w:ascii="PT Astra Serif" w:eastAsia="Calibri" w:hAnsi="PT Astra Serif" w:cs="PT Astra Serif"/>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6</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Утвердить:</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1) </w:t>
      </w:r>
      <w:hyperlink r:id="rId12" w:tooltip="consultantplus://offline/ref=D2F429F31CDEEC55E5308ABCBA6D69AE31466B1AE366E97C4FACAF286E066C7C87011B2C7C51250FE30381612022488729745B827AF8BC668B9C92C235f9C" w:history="1">
        <w:r>
          <w:rPr>
            <w:rFonts w:ascii="PT Astra Serif" w:hAnsi="PT Astra Serif"/>
            <w:sz w:val="27"/>
            <w:szCs w:val="27"/>
          </w:rPr>
          <w:t>объем</w:t>
        </w:r>
      </w:hyperlink>
      <w:r>
        <w:rPr>
          <w:rFonts w:ascii="PT Astra Serif" w:hAnsi="PT Astra Serif"/>
          <w:sz w:val="27"/>
          <w:szCs w:val="27"/>
        </w:rPr>
        <w:t xml:space="preserve"> безвозмездных поступлений в бюджет Томской области на 2026 год и на плановый период 2027 и 2028 годов согласно приложению 4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2) </w:t>
      </w:r>
      <w:hyperlink r:id="rId13" w:tooltip="consultantplus://offline/ref=D2F429F31CDEEC55E5308ABCBA6D69AE31466B1AE366E97C4FACAF286E066C7C87011B2C7C51250FE30380632622488729745B827AF8BC668B9C92C235f9C" w:history="1">
        <w:r>
          <w:rPr>
            <w:rFonts w:ascii="PT Astra Serif" w:hAnsi="PT Astra Serif"/>
            <w:sz w:val="27"/>
            <w:szCs w:val="27"/>
          </w:rPr>
          <w:t>источники</w:t>
        </w:r>
      </w:hyperlink>
      <w:r>
        <w:rPr>
          <w:rFonts w:ascii="PT Astra Serif" w:hAnsi="PT Astra Serif"/>
          <w:sz w:val="27"/>
          <w:szCs w:val="27"/>
        </w:rPr>
        <w:t xml:space="preserve"> внутреннего финансирования дефицита областного бюджета на 2026 год и на плановый период 2027 и 2028 годов согласно приложению 5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lastRenderedPageBreak/>
        <w:t xml:space="preserve">3) </w:t>
      </w:r>
      <w:hyperlink r:id="rId14" w:tooltip="consultantplus://offline/ref=D2F429F31CDEEC55E5308ABCBA6D69AE31466B1AE366E97C4FACAF286E066C7C87011B2C7C51250FE30380642622488729745B827AF8BC668B9C92C235f9C" w:history="1">
        <w:r>
          <w:rPr>
            <w:rFonts w:ascii="PT Astra Serif" w:hAnsi="PT Astra Serif"/>
            <w:sz w:val="27"/>
            <w:szCs w:val="27"/>
          </w:rPr>
          <w:t>программу</w:t>
        </w:r>
      </w:hyperlink>
      <w:r>
        <w:rPr>
          <w:rFonts w:ascii="PT Astra Serif" w:hAnsi="PT Astra Serif"/>
          <w:sz w:val="27"/>
          <w:szCs w:val="27"/>
        </w:rPr>
        <w:t xml:space="preserve"> государственных внутренних заимствований Томской области на 2026 год и на плановый период 2027 и 2028 годов согласно приложению 6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4) </w:t>
      </w:r>
      <w:hyperlink r:id="rId15" w:tooltip="consultantplus://offline/ref=D2F429F31CDEEC55E5308ABCBA6D69AE31466B1AE366E97C4FACAF286E066C7C87011B2C7C51250FE30380662722488729745B827AF8BC668B9C92C235f9C" w:history="1">
        <w:r>
          <w:rPr>
            <w:rFonts w:ascii="PT Astra Serif" w:hAnsi="PT Astra Serif"/>
            <w:sz w:val="27"/>
            <w:szCs w:val="27"/>
          </w:rPr>
          <w:t>программу</w:t>
        </w:r>
      </w:hyperlink>
      <w:r>
        <w:rPr>
          <w:rFonts w:ascii="PT Astra Serif" w:hAnsi="PT Astra Serif"/>
          <w:sz w:val="27"/>
          <w:szCs w:val="27"/>
        </w:rPr>
        <w:t xml:space="preserve"> государственных гарантий Томской области на 2026 год и на плановый период 2027 и 2028 годов согласно приложению 7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5) </w:t>
      </w:r>
      <w:hyperlink r:id="rId16" w:tooltip="consultantplus://offline/ref=D2F429F31CDEEC55E5308ABCBA6D69AE31466B1AE366E97C4FACAF286E066C7C87011B2C7C51250FE30380672622488729745B827AF8BC668B9C92C235f9C" w:history="1">
        <w:r>
          <w:rPr>
            <w:rFonts w:ascii="PT Astra Serif" w:hAnsi="PT Astra Serif"/>
            <w:sz w:val="27"/>
            <w:szCs w:val="27"/>
          </w:rPr>
          <w:t>распределение</w:t>
        </w:r>
      </w:hyperlink>
      <w:r>
        <w:rPr>
          <w:rFonts w:ascii="PT Astra Serif" w:hAnsi="PT Astra Serif"/>
          <w:sz w:val="27"/>
          <w:szCs w:val="27"/>
        </w:rPr>
        <w:t xml:space="preserve"> бюджетных ассигнований областного бюджета по разделам, подразделам классификации расходов бюджетов на 2026 год и на плановый период 2027 и 2028 годов согласно приложению 8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6) </w:t>
      </w:r>
      <w:hyperlink r:id="rId17" w:tooltip="consultantplus://offline/ref=D2F429F31CDEEC55E5308ABCBA6D69AE31466B1AE366E97C4FACAF286E066C7C87011B2C7C51250FE30383652322488729745B827AF8BC668B9C92C235f9C" w:history="1">
        <w:r>
          <w:rPr>
            <w:rFonts w:ascii="PT Astra Serif" w:hAnsi="PT Astra Serif"/>
            <w:sz w:val="27"/>
            <w:szCs w:val="27"/>
          </w:rPr>
          <w:t>распределение</w:t>
        </w:r>
      </w:hyperlink>
      <w:r>
        <w:rPr>
          <w:rFonts w:ascii="PT Astra Serif" w:hAnsi="PT Astra Serif"/>
          <w:sz w:val="27"/>
          <w:szCs w:val="27"/>
        </w:rPr>
        <w:t xml:space="preserve">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средств областного бюджета, на 2026 год и на плановый период 2027 и 2028 годов согласно приложению 9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7) </w:t>
      </w:r>
      <w:hyperlink r:id="rId18" w:tooltip="consultantplus://offline/ref=D2F429F31CDEEC55E5308ABCBA6D69AE31466B1AE366E97C4FACAF286E066C7C87011B2C7C51250FE3038D602022488729745B827AF8BC668B9C92C235f9C" w:history="1">
        <w:r>
          <w:rPr>
            <w:rFonts w:ascii="PT Astra Serif" w:hAnsi="PT Astra Serif"/>
            <w:sz w:val="27"/>
            <w:szCs w:val="27"/>
          </w:rPr>
          <w:t>распределение</w:t>
        </w:r>
      </w:hyperlink>
      <w:r>
        <w:rPr>
          <w:rFonts w:ascii="PT Astra Serif" w:hAnsi="PT Astra Serif"/>
          <w:sz w:val="27"/>
          <w:szCs w:val="27"/>
        </w:rPr>
        <w:t xml:space="preserve">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безвозмездных поступлений от других бюджетов бюджетной системы Российской Федерации и безвозмездных поступлений от государственных организаций, на 2026 год и на плановый период 2027 и 2028 годов, согласно приложению 9.1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8) распределение бюджетных ассигнований областного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 на 2026 год согласно </w:t>
      </w:r>
      <w:hyperlink r:id="rId19" w:tooltip="consultantplus://offline/ref=D2F429F31CDEEC55E5308ABCBA6D69AE31466B1AE366E97C4FACAF286E066C7C87011B2C7C51250FE30285632122488729745B827AF8BC668B9C92C235f9C" w:history="1">
        <w:r>
          <w:rPr>
            <w:rFonts w:ascii="PT Astra Serif" w:hAnsi="PT Astra Serif"/>
            <w:sz w:val="27"/>
            <w:szCs w:val="27"/>
          </w:rPr>
          <w:t>приложению 13</w:t>
        </w:r>
      </w:hyperlink>
      <w:r>
        <w:rPr>
          <w:rFonts w:ascii="PT Astra Serif" w:hAnsi="PT Astra Serif"/>
          <w:sz w:val="27"/>
          <w:szCs w:val="27"/>
        </w:rPr>
        <w:t xml:space="preserve"> к настоящему Закону и на плановый период 2027 и 2028 годов согласно </w:t>
      </w:r>
      <w:hyperlink r:id="rId20" w:tooltip="consultantplus://offline/ref=D2F429F31CDEEC55E5308ABCBA6D69AE31466B1AE366E97C4FACAF286E066C7C87011B2C7C51250FE3018D642222488729745B827AF8BC668B9C92C235f9C" w:history="1">
        <w:r>
          <w:rPr>
            <w:rFonts w:ascii="PT Astra Serif" w:hAnsi="PT Astra Serif"/>
            <w:sz w:val="27"/>
            <w:szCs w:val="27"/>
          </w:rPr>
          <w:t>приложению 13.1</w:t>
        </w:r>
      </w:hyperlink>
      <w:r>
        <w:rPr>
          <w:rFonts w:ascii="PT Astra Serif" w:hAnsi="PT Astra Serif"/>
          <w:sz w:val="27"/>
          <w:szCs w:val="27"/>
        </w:rPr>
        <w:t xml:space="preserve">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9) </w:t>
      </w:r>
      <w:hyperlink r:id="rId21" w:tooltip="consultantplus://offline/ref=D2F429F31CDEEC55E5308ABCBA6D69AE31466B1AE366E97C4FACAF286E066C7C87011B2C7C51250FE20087692622488729745B827AF8BC668B9C92C235f9C" w:history="1">
        <w:r>
          <w:rPr>
            <w:rFonts w:ascii="PT Astra Serif" w:hAnsi="PT Astra Serif"/>
            <w:sz w:val="27"/>
            <w:szCs w:val="27"/>
          </w:rPr>
          <w:t>перечень</w:t>
        </w:r>
      </w:hyperlink>
      <w:r>
        <w:rPr>
          <w:rFonts w:ascii="PT Astra Serif" w:hAnsi="PT Astra Serif"/>
          <w:sz w:val="27"/>
          <w:szCs w:val="27"/>
        </w:rPr>
        <w:t xml:space="preserve"> главных распорядителей средств областного бюджета согласно приложению 14 к настоящему Закону.</w:t>
      </w:r>
    </w:p>
    <w:p w:rsidR="000F3003" w:rsidRDefault="000F3003">
      <w:pPr>
        <w:spacing w:line="360" w:lineRule="auto"/>
        <w:ind w:firstLine="709"/>
        <w:jc w:val="both"/>
        <w:rPr>
          <w:rFonts w:ascii="PT Astra Serif" w:hAnsi="PT Astra Serif"/>
          <w:sz w:val="27"/>
          <w:szCs w:val="27"/>
        </w:rPr>
      </w:pP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lastRenderedPageBreak/>
        <w:t>Статья 7</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1. Утвердить в пределах общего объема расходов, установленного </w:t>
      </w:r>
      <w:hyperlink r:id="rId22" w:tooltip="consultantplus://offline/ref=D2F429F31CDEEC55E5308ABCBA6D69AE31466B1AE366E97C4FACAF286E066C7C87011B2C7C51250FE30385602722488729745B827AF8BC668B9C92C235f9C" w:history="1">
        <w:r>
          <w:rPr>
            <w:rFonts w:ascii="PT Astra Serif" w:hAnsi="PT Astra Serif"/>
            <w:sz w:val="27"/>
            <w:szCs w:val="27"/>
          </w:rPr>
          <w:t>статьей 1</w:t>
        </w:r>
      </w:hyperlink>
      <w:r>
        <w:rPr>
          <w:rFonts w:ascii="PT Astra Serif" w:hAnsi="PT Astra Serif"/>
          <w:sz w:val="27"/>
          <w:szCs w:val="27"/>
        </w:rPr>
        <w:t xml:space="preserve"> настоящего Закона, ведомственную структуру расходов областного бюджета на 2026 год согласно </w:t>
      </w:r>
      <w:hyperlink r:id="rId23" w:tooltip="consultantplus://offline/ref=D2F429F31CDEEC55E5308ABCBA6D69AE31466B1AE366E97C4FACAF286E066C7C87011B2C7C51250FE30781682722488729745B827AF8BC668B9C92C235f9C" w:history="1">
        <w:r>
          <w:rPr>
            <w:rFonts w:ascii="PT Astra Serif" w:hAnsi="PT Astra Serif"/>
            <w:sz w:val="27"/>
            <w:szCs w:val="27"/>
          </w:rPr>
          <w:t>приложению 15</w:t>
        </w:r>
      </w:hyperlink>
      <w:r>
        <w:rPr>
          <w:rFonts w:ascii="PT Astra Serif" w:hAnsi="PT Astra Serif"/>
          <w:sz w:val="27"/>
          <w:szCs w:val="27"/>
        </w:rPr>
        <w:t xml:space="preserve"> к настоящему Закону и на плановый период 2027 и 2028 годов согласно </w:t>
      </w:r>
      <w:hyperlink r:id="rId24" w:tooltip="consultantplus://offline/ref=D2F429F31CDEEC55E5308ABCBA6D69AE31466B1AE366E97C4FACAF286E066C7C87011B2C7C51250FE30B85642522488729745B827AF8BC668B9C92C235f9C" w:history="1">
        <w:r>
          <w:rPr>
            <w:rFonts w:ascii="PT Astra Serif" w:hAnsi="PT Astra Serif"/>
            <w:sz w:val="27"/>
            <w:szCs w:val="27"/>
          </w:rPr>
          <w:t>приложению 15.1</w:t>
        </w:r>
      </w:hyperlink>
      <w:r>
        <w:rPr>
          <w:rFonts w:ascii="PT Astra Serif" w:hAnsi="PT Astra Serif"/>
          <w:sz w:val="27"/>
          <w:szCs w:val="27"/>
        </w:rPr>
        <w:t xml:space="preserve">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2. Утвердить общий объем межбюджетных трансфертов, предоставляемых из областного бюджета другим бюджетам бюджетной системы, на 2026 год в сумме               41 559 756,2 тыс. рублей, на 2027 год в сумме 39 767 233,6 тыс. рублей, на 2028 год  в сумме 38 092 346,2 тыс. рублей, из них: </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1) объем межбюджетных трансфертов, предоставляемых местным бюджетам, на 2026 год в сумме 40 203 867,5 тыс. рублей, в том числе  7 297 643,3 тыс. рублей в форме дотаций, 9 326 299,2 тыс. рублей в форме субсидий, 18 467 522,4 тыс. рублей в форме субвенций, 5 112 402,6 тыс. рублей в форме иных межбюджетных трансфертов;</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2027 год в сумме 38 387 531,6 тыс. рублей, в том числе 7 297 410,8 тыс. рублей в форме дотаций, 7 421 401,7 тыс. рублей в форме субсидий, 18 556 638,9 тыс. рублей в форме субвенций, 5 112 080,2 тыс. рублей в форме иных межбюджетных трансфертов;</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2028 год в сумме 36 712 644,2 тыс. рублей, в том числе 7 296 096,5 тыс. рублей в форме дотаций, 5 724 795,5 тыс. рублей в форме субсидий, 18 579 763,7 тыс. рублей в форме субвенций, 5 111 988,5 тыс. рублей в форме иных межбюджетных трансфертов;</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2) объем субвенции бюджету Фонда пенсионного и социального страхования Российской Федерации на осуществление переданного полномочия по предоставлению ежемесячного пособия в связи с рождением и воспитанием ребенка на 2026 год в сумме 1 352 483,9 тыс. рублей, на 2027 год в сумме 1 376 297,2 тыс. рублей и на 2028 год в сумме 1 376 297,2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3) объем субвенции, предоставляемой федеральному бюджету на основании соглашения, заключенного между Министерством внутренних дел Российской Федерации и Администрацией Томской области, о передаче Министерству внутренних дел Российской Федерации части полномочий по составлению протоколов об административных правонарушениях, посягающих на общественный порядок и общественную безопасность, предусмотренных «</w:t>
      </w:r>
      <w:hyperlink r:id="rId25" w:tooltip="consultantplus://offline/ref=D2F429F31CDEEC55E5308ABCBA6D69AE31466B1AE366E97C4EA3AF286E066C7C87011B2C6E517D03E20B9B6028371ED66F32f3C" w:history="1">
        <w:r>
          <w:rPr>
            <w:rFonts w:ascii="PT Astra Serif" w:hAnsi="PT Astra Serif"/>
            <w:sz w:val="27"/>
            <w:szCs w:val="27"/>
          </w:rPr>
          <w:t>Кодексом</w:t>
        </w:r>
      </w:hyperlink>
      <w:r>
        <w:rPr>
          <w:rFonts w:ascii="PT Astra Serif" w:hAnsi="PT Astra Serif"/>
          <w:sz w:val="27"/>
          <w:szCs w:val="27"/>
        </w:rPr>
        <w:t xml:space="preserve"> Томской области об </w:t>
      </w:r>
      <w:r>
        <w:rPr>
          <w:rFonts w:ascii="PT Astra Serif" w:hAnsi="PT Astra Serif"/>
          <w:sz w:val="27"/>
          <w:szCs w:val="27"/>
        </w:rPr>
        <w:lastRenderedPageBreak/>
        <w:t>административных правонарушениях» от 26 декабря 2008 года № 295-ОЗ, на 2026 год в сумме 3 404,8 тыс. рублей, на 2027 год в сумме 3 404,8 тыс. рублей и на 2028 год в сумме 3 404,8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3. Утвердить распределение межбюджетных трансфертов местным бюджетам на 2026 год и на плановый период 2027 и 2028 годов согласно </w:t>
      </w:r>
      <w:hyperlink r:id="rId26" w:tooltip="consultantplus://offline/ref=D2F429F31CDEEC55E5308ABCBA6D69AE31466B1AE366E97C4FACAF286E066C7C87011B2C7C51250FE20287692922488729745B827AF8BC668B9C92C235f9C" w:history="1">
        <w:r>
          <w:rPr>
            <w:rFonts w:ascii="PT Astra Serif" w:hAnsi="PT Astra Serif"/>
            <w:sz w:val="27"/>
            <w:szCs w:val="27"/>
          </w:rPr>
          <w:t>приложению 16</w:t>
        </w:r>
      </w:hyperlink>
      <w:r>
        <w:rPr>
          <w:rFonts w:ascii="PT Astra Serif" w:hAnsi="PT Astra Serif"/>
          <w:sz w:val="27"/>
          <w:szCs w:val="27"/>
        </w:rPr>
        <w:t xml:space="preserve"> к настоящему Закону.</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4. Утвердить общий </w:t>
      </w:r>
      <w:hyperlink r:id="rId27" w:tooltip="consultantplus://offline/ref=D2F429F31CDEEC55E5308ABCBA6D69AE31466B1AE366E97C4FACAF286E066C7C87011B2C7C51250FE3038D682822488729745B827AF8BC668B9C92C235f9C" w:history="1">
        <w:r>
          <w:rPr>
            <w:rFonts w:ascii="PT Astra Serif" w:hAnsi="PT Astra Serif"/>
            <w:sz w:val="27"/>
            <w:szCs w:val="27"/>
          </w:rPr>
          <w:t>объем</w:t>
        </w:r>
      </w:hyperlink>
      <w:r>
        <w:rPr>
          <w:rFonts w:ascii="PT Astra Serif" w:hAnsi="PT Astra Serif"/>
          <w:sz w:val="27"/>
          <w:szCs w:val="27"/>
        </w:rPr>
        <w:t xml:space="preserve"> бюджетных ассигнований, направляемых на исполнение публичных нормативных обязательств, на 2026 год в сумме 6 096 475,1 тыс. рублей, на 2027 год в сумме 6 100 403,9 тыс. рублей и на 2028 год в сумме 6 093 832,4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5. Утвердить объем бюджетных ассигнований дорожного фонда Томской области на 2026 год и на плановый период 2027 и 2028 годов в сумме:</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2026 год – 8 148 096,9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2027 год – 7 492 773,5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2028 год – 7 766 484,0 тыс. рублей.</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8</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bCs/>
          <w:sz w:val="26"/>
          <w:szCs w:val="26"/>
        </w:rPr>
      </w:pPr>
      <w:r>
        <w:rPr>
          <w:rFonts w:ascii="PT Astra Serif" w:hAnsi="PT Astra Serif"/>
          <w:sz w:val="27"/>
          <w:szCs w:val="27"/>
        </w:rPr>
        <w:t>Установить верхний предел государственного внутреннего долга Томской области по состоянию на 1 января 2027 года в сумме 51 702 745,9 тыс. рублей, в том числе верхний предел долга по государственным гарантиям Томской области в сумме 0,0 тыс. рублей, на 1 января 2028 года в сумме 49 202 745,9 тыс. рублей, в том числе верхний предел долга по государственным гарантиям Томской области 0,0 тыс. рублей, на 1 января 2029 года в сумме 46 702 745,9 тыс. рублей, в том числе верхний предел долга по государственным гарантиям Томской области 0,0 тыс. рублей.</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9</w:t>
      </w:r>
    </w:p>
    <w:p w:rsidR="000F3003" w:rsidRDefault="000F3003">
      <w:pPr>
        <w:spacing w:line="360" w:lineRule="auto"/>
        <w:ind w:firstLine="709"/>
        <w:jc w:val="both"/>
        <w:rPr>
          <w:rFonts w:ascii="PT Astra Serif" w:hAnsi="PT Astra Serif"/>
          <w:sz w:val="27"/>
          <w:szCs w:val="27"/>
        </w:rPr>
      </w:pPr>
      <w:bookmarkStart w:id="1" w:name="Par81"/>
      <w:bookmarkEnd w:id="1"/>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1. Установить, что бюджетные кредиты местным бюджетам предоставляются из областного бюджета в целях финансирования дефицитов местных бюджетов, погашения долговых обязательств муниципального образования, а также </w:t>
      </w:r>
      <w:r>
        <w:rPr>
          <w:rFonts w:ascii="PT Astra Serif" w:hAnsi="PT Astra Serif"/>
          <w:sz w:val="27"/>
          <w:szCs w:val="27"/>
        </w:rPr>
        <w:lastRenderedPageBreak/>
        <w:t>осуществления мероприятий, связанных с предупреждением и ликвидацией последствий стихийных бедствий и техногенных аварий, в пределах общего объема бюджетных ассигнований, предусмотренных по источникам финансирования дефицита областного бюджета, в 2026 году в сумме до 300 000,0 тыс. рублей, в 2027 году в сумме до 300 000,0 тыс. рублей и в 2028 году в сумме до 300 000,0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2. Установить плату за пользование указанными в части 1 настоящей статьи бюджетными кредитами:</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1) в целях финансирования дефицитов местных бюджетов, погашения долговых обязательств муниципального образования - в размере ключевой ставки Центрального банка Российской Федерации, действующей на день заключения договора о предоставлении бюджетного кредита;</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2) в целях осуществления мероприятий, связанных с предупреждением и ликвидацией последствий стихийных бедствий и техногенных аварий, - по ставке 0,01 процента годовых от суммы бюджетного кредита.</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3. Бюджетные кредиты из областного бюджета предоставляются местным бюджетам без предоставления обеспечения исполнения обязательства по возврату кредита.</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Бюджетные кредиты из областного бюджета предоставляются местным бюджетам, не имеющим просроченной (неурегулированной) задолженности по денежным обязательствам перед областным бюджетом и при наличии у муниципального образования источников погашения бюджетных кредитов.</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4. Порядок предоставления, использования и возврата муниципальными образованиями Томской области бюджетных кредитов, полученных из областного бюджета, определяется в соответствии с постановлением Администрации Томской области.</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10</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Установить, что в соответствии с </w:t>
      </w:r>
      <w:hyperlink r:id="rId28" w:tooltip="consultantplus://offline/ref=D2F429F31CDEEC55E53094B1AC0137AA344F3716E362E62C14F0A97F31566A29C7411D793C1C2C05B752C1352D2814C86D29488172E43BfEC" w:history="1">
        <w:r>
          <w:rPr>
            <w:rFonts w:ascii="PT Astra Serif" w:hAnsi="PT Astra Serif"/>
            <w:sz w:val="27"/>
            <w:szCs w:val="27"/>
          </w:rPr>
          <w:t>пунктом 1 статьи 74</w:t>
        </w:r>
      </w:hyperlink>
      <w:r>
        <w:rPr>
          <w:rFonts w:ascii="PT Astra Serif" w:hAnsi="PT Astra Serif"/>
          <w:sz w:val="27"/>
          <w:szCs w:val="27"/>
        </w:rPr>
        <w:t xml:space="preserve"> Бюджетного кодекса Российской Федерации бюджетные ассигнования, предусмотренные главным распорядителям средств областного бюджета, в ведении которых находятся областные </w:t>
      </w:r>
      <w:r>
        <w:rPr>
          <w:rFonts w:ascii="PT Astra Serif" w:hAnsi="PT Astra Serif"/>
          <w:sz w:val="27"/>
          <w:szCs w:val="27"/>
        </w:rPr>
        <w:lastRenderedPageBreak/>
        <w:t>государственные казенные учреждения, на обеспечение деятельности областных государственных казенных учреждений за счет:</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доходов от платных услуг, оказываемых областными государственными казенными учреждениями;</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безвозмездных поступлений от физических и юридических лиц, международных организаций и правительств иностранных государств, в том числе добровольных пожертвований;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предоставляются при условии фактического поступления указанных доходов в областной бюджет.</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Порядок предоставления указанных средств устанавливается Администрацией Томской области.</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Порядок доведения указанных бюджетных ассигнований и лимитов бюджетных обязательств до главных распорядителей средств областного бюджета устанавливается Департаментом финансов Томской области.</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11</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Доходы от платных услуг, оказываемых областными государственными казенными учреждениями, 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 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Томской области, и иные суммы принудительного изъятия, поступившие в областной бюджет сверх утвержденных настоящим Законом, направляются в 2026 году на увеличение расходов соответствующего областного государственного казенного учреждения путем внесения изменений в сводную </w:t>
      </w:r>
      <w:r>
        <w:rPr>
          <w:rFonts w:ascii="PT Astra Serif" w:hAnsi="PT Astra Serif"/>
          <w:sz w:val="27"/>
          <w:szCs w:val="27"/>
        </w:rPr>
        <w:lastRenderedPageBreak/>
        <w:t>бюджетную роспись по представлению главных распорядителей средств областного бюджета без внесения изменений в настоящий Закон.</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12</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Установить, что в соответствии с </w:t>
      </w:r>
      <w:hyperlink r:id="rId29" w:tooltip="consultantplus://offline/ref=D2F429F31CDEEC55E53094B1AC0137AA344F3716E362E62C14F0A97F31566A29C7411D7C3D1C2C05B752C1352D2814C86D29488172E43BfEC" w:history="1">
        <w:r>
          <w:rPr>
            <w:rFonts w:ascii="PT Astra Serif" w:hAnsi="PT Astra Serif"/>
            <w:sz w:val="27"/>
            <w:szCs w:val="27"/>
          </w:rPr>
          <w:t>пунктом 3 статьи 217</w:t>
        </w:r>
      </w:hyperlink>
      <w:r>
        <w:rPr>
          <w:rFonts w:ascii="PT Astra Serif" w:hAnsi="PT Astra Serif"/>
          <w:sz w:val="27"/>
          <w:szCs w:val="27"/>
        </w:rPr>
        <w:t xml:space="preserve"> Бюджетного кодекса Российской Федерации основанием для внесения в 2026 году изменений в показатели сводной бюджетной росписи областного бюджета является распределение зарезервированных в составе утвержденных в ведомственной структуре расходов областного бюджета на 2026 год бюджетных ассигнований, предусмотренных:</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1) Администрации Томской области:</w:t>
      </w:r>
    </w:p>
    <w:p w:rsidR="000F3003" w:rsidRDefault="008B20D2">
      <w:pPr>
        <w:spacing w:line="360" w:lineRule="auto"/>
        <w:ind w:firstLine="709"/>
        <w:jc w:val="both"/>
        <w:rPr>
          <w:rFonts w:ascii="PT Astra Serif" w:hAnsi="PT Astra Serif"/>
          <w:sz w:val="26"/>
          <w:szCs w:val="26"/>
        </w:rPr>
      </w:pPr>
      <w:r>
        <w:rPr>
          <w:rFonts w:ascii="PT Astra Serif" w:hAnsi="PT Astra Serif"/>
          <w:sz w:val="27"/>
          <w:szCs w:val="27"/>
        </w:rPr>
        <w:t>на реализацию государственной программы «Обеспечение безопасности населения Томской области» в сумме 600,0 тыс. рублей по подразделу 0113 «Другие общегосударственные вопросы» раздела 0100 «Общегосударственные вопросы» на реализацию комплекса процессных мероприятий «Снижение количества правонарушений»;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реализацию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по подразделу 0412 «Другие вопросы в области национальной экономики» раздела 0400 «Национальная экономика» в сумме 15 156,0 тыс. рублей, в том числе:</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реализацию комплекса процессных мероприятий «Развитие внутреннего и въездного туризма в Томской области» в сумме 14 180,3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реализацию регионального проекта «Создание номерного фонда, инфраструктуры и новых точек притяжения» в сумме 975,7 тыс. рублей;</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2) Департаменту финансов Томской области:</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реализацию государственной программы «Эффективное управление региональными финансами, государственными закупками и совершенствование межбюджетных отношений в Томской области» в сумме 5 217 912,9 тыс. рублей, в том числе:</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lastRenderedPageBreak/>
        <w:t>на реализацию комплекса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  в сумме 5 167 912,9  тыс. рублей по подразделу 1402 «Иные дотации» раздела 1400 «Межбюджетные трансферты общего характера бюджетам бюджетной системы Российской Федерации» на предоставление дотаций на поддержку мер по обеспечению сбалансированности местных бюджетов по итогам выполнения Соглашений о мерах по социально-экономическому развитию и оздоровлению муниципальных финансов;</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реализацию ведомственного проекта «Содействие в реализации в муниципальных образованиях Томской области инициативных проектов, предложенных населением Томской области» в сумме 50 000,0 тыс. рублей по подразделу 1403 «Прочие межбюджетные трансферты общего характера» раздела 1400 «Межбюджетные трансферты общего характера бюджетам бюджетной системы Российской Федерации»;</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на повышение заработной платы работников бюджетной сферы в сумме 6 000 000,0  тыс. рублей по подразделу 0113 «Другие общегосударственные вопросы» раздела 0100 «Общегосударственные вопросы»;</w:t>
      </w:r>
    </w:p>
    <w:p w:rsidR="000F3003" w:rsidRDefault="008B20D2">
      <w:pPr>
        <w:spacing w:line="360" w:lineRule="auto"/>
        <w:ind w:firstLine="709"/>
        <w:jc w:val="both"/>
        <w:outlineLvl w:val="0"/>
        <w:rPr>
          <w:rFonts w:ascii="PT Astra Serif" w:hAnsi="PT Astra Serif"/>
          <w:sz w:val="27"/>
          <w:szCs w:val="27"/>
        </w:rPr>
      </w:pPr>
      <w:r>
        <w:rPr>
          <w:rFonts w:ascii="PT Astra Serif" w:hAnsi="PT Astra Serif"/>
          <w:sz w:val="27"/>
          <w:szCs w:val="27"/>
        </w:rPr>
        <w:t>на 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 в сумме 2 033 321,0 тыс. рублей по подразделу 0113 «Другие общегосударственные вопросы» раздела 0100 «Общегосударственные вопросы»;</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3) Департаменту образования Томской области:</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на реализацию государственной программы «Развитие образования в Томской области» в сумме 6 095 870,0 тыс. рублей, в том числе: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 xml:space="preserve">на реализацию комплекса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 в сумме 5 956 835,5 тыс. рублей, в том числе: </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по подразделу 0701 «Дошкольное образование» раздела 0700 «Образование» в сумме 2</w:t>
      </w:r>
      <w:r>
        <w:rPr>
          <w:rFonts w:ascii="PT Astra Serif" w:hAnsi="PT Astra Serif"/>
          <w:sz w:val="27"/>
          <w:szCs w:val="27"/>
          <w:lang w:val="en-US"/>
        </w:rPr>
        <w:t> </w:t>
      </w:r>
      <w:r>
        <w:rPr>
          <w:rFonts w:ascii="PT Astra Serif" w:hAnsi="PT Astra Serif"/>
          <w:sz w:val="27"/>
          <w:szCs w:val="27"/>
        </w:rPr>
        <w:t>242 968,9 тыс. рублей, в том числе: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lastRenderedPageBreak/>
        <w:t>в сумме 2 231</w:t>
      </w:r>
      <w:r>
        <w:rPr>
          <w:rFonts w:ascii="PT Astra Serif" w:hAnsi="PT Astra Serif"/>
          <w:sz w:val="27"/>
          <w:szCs w:val="27"/>
          <w:lang w:val="en-US"/>
        </w:rPr>
        <w:t> </w:t>
      </w:r>
      <w:r>
        <w:rPr>
          <w:rFonts w:ascii="PT Astra Serif" w:hAnsi="PT Astra Serif"/>
          <w:sz w:val="27"/>
          <w:szCs w:val="27"/>
        </w:rPr>
        <w:t>392,0  тыс. рублей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11</w:t>
      </w:r>
      <w:r>
        <w:rPr>
          <w:rFonts w:ascii="PT Astra Serif" w:hAnsi="PT Astra Serif"/>
          <w:sz w:val="27"/>
          <w:szCs w:val="27"/>
          <w:lang w:val="en-US"/>
        </w:rPr>
        <w:t> </w:t>
      </w:r>
      <w:r>
        <w:rPr>
          <w:rFonts w:ascii="PT Astra Serif" w:hAnsi="PT Astra Serif"/>
          <w:sz w:val="27"/>
          <w:szCs w:val="27"/>
        </w:rPr>
        <w:t>576,9 тыс. рублей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по подразделу 0702 «Общее образование» раздела 0700 «Образование» в сумме 3 048 134,9 тыс. рублей, в том числе: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2 683 161,3 тыс. рублей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66 498,1 тыс. рублей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100 000,0 тыс. рублей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63 764,2 тыс. рублей на организацию бесплатного горячего питания обучающихся, получающих начальное общее образование в муниципальных образовательных организациях;</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lastRenderedPageBreak/>
        <w:t>в сумме 49 439,1 тыс. рублей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«О дополнительных мерах социальной поддержки многодетных семей»;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77 090,6 тыс. рублей на 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«О дополнительных мерах социальной поддержки многодетных семей»;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8 181,6 тыс. рублей на 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по подразделу 0703 «Дополнительное образование детей» раздела 0700 «Образование» в сумме 665 731,7 тыс. рублей, в том числе: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36 461,5 тыс. рублей на стимулирующие выплаты в муниципальных организациях дополнительного образования Томской области;</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629 270,2 тыс. рублей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lastRenderedPageBreak/>
        <w:t>на реализацию регионального проекта «Все лучшее детям» по подразделу 0702 «Общее образование» раздела 0700 «Образование» в сумме 137 439,2 тыс. рублей, в том числе: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29 415,7 тыс. рублей на реализацию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107 003,8 тыс. рублей на обеспечение антитеррористической защиты отремонтированных зданий общеобразовательных организаций;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1 019,7 тыс. рублей на повышение квалификации школьных команд общеобразовательных организаций;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на реализацию регионального проекта «Педагоги и наставники» по подразделу 0709 «Другие вопросы в области образования» раздела 0700 «Образование» в сумме 1 595,3 тыс. рублей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на реализацию регионального проекта «Поддержка семьи» по подразделу 0701 «Дошкольное образование» раздела 0700 «Образование» в сумме 81,6 тыс. рублей на оснащение образовательных организаций, осуществляющих образовательную деятельность по образовательным программам дошкольного образования в рамках осуществления капитального ремонта;</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4) Департаменту по культуре Томской области:</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 xml:space="preserve">на реализацию государственной программы «Развитие культуры в Томской области» в сумме 1 937 030,5 тыс. рублей, в том числе: </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по подразделу 0703 «Дополнительное образование детей» раздела 0700 «Образование» на реализацию комплекса процессных мероприятий «Создание условий для развития кадрового потенциала в Томской области в сфере культуры и архивного дела»  в сумме 264 471,0 тыс. рублей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lastRenderedPageBreak/>
        <w:t>по подразделу 0801 «Культура» раздела 0800 «Культура, кинематография»:</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на реализацию комплекса процессных мероприятий «Развитие профессионального искусства и народного творчества» в сумме 1 660 792,4 тыс. рублей на 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на реализацию ведомственного проекта «Содействие комплексному развитию сферы культуры и архивного дела Томской области» в сумме 1 499,3  тыс. рублей, в том числе:</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 xml:space="preserve"> на обеспечение развития и укрепления материально-технической базы домов культуры в населенных пунктах с числом жителей до 50 тысяч человек в сумме 1400,4 тыс. рублей;</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на государственную поддержку лучших сельских учреждений культуры и лучших работников сельских учреждений культуры в сумме 98,9 тыс. рублей;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 xml:space="preserve">на реализацию регионального проекта «Семейные ценности и инфраструктура культуры» в сумме 10 267,8 тыс. рублей, в том числе: </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по подразделу 0801 «Культура» раздела 0800 «Культура, кинематография» в сумме 10 000,0 тыс. рублей на создание модельным муниципальных библиотек;</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по подразделу 0709 «Другие вопросы в области образования» раздела 0700 «Образование» в сумме 267,8 тыс. рублей на 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5) Департаменту по вопросам семьи и детей Томской области:</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на реализацию государственной программы «Социальная поддержка населения Томской области» комплекса процессных мероприятий «Повышение качества услуг в сфере отдыха и оздоровления детей» в сумме 267 680,0 тыс. рублей по подразделу 0709 «Другие вопросы в области образования» раздела 0700 «Образование» на организацию и обеспечение отдыха и оздоровления детей (за исключением организации отдыха детей в каникулярное время);</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6) Департаменту спорта Томской области:</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lastRenderedPageBreak/>
        <w:t xml:space="preserve">на реализацию государственной программы «Развитие молодежной политики, физической культуры и спорта в Томской области» комплекса процессных мероприятий «Совершенствование системы подготовки спортсменов высокого класса и создание условий, направленных на увеличение числа перспективных спортсменов»: </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по подразделу 0703 «Дополнительное образование детей» раздела 0700 «Образование» в сумме 338</w:t>
      </w:r>
      <w:r>
        <w:rPr>
          <w:rFonts w:ascii="PT Astra Serif" w:hAnsi="PT Astra Serif"/>
          <w:sz w:val="27"/>
          <w:szCs w:val="27"/>
          <w:lang w:val="en-US"/>
        </w:rPr>
        <w:t> </w:t>
      </w:r>
      <w:r>
        <w:rPr>
          <w:rFonts w:ascii="PT Astra Serif" w:hAnsi="PT Astra Serif"/>
          <w:sz w:val="27"/>
          <w:szCs w:val="27"/>
        </w:rPr>
        <w:t>217,5 тыс. рублей, в том числе: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304 775,1 тыс. рублей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33 442,4 тыс. рублей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p w:rsidR="000F3003" w:rsidRDefault="008B20D2">
      <w:pPr>
        <w:spacing w:line="360" w:lineRule="auto"/>
        <w:ind w:firstLine="709"/>
        <w:jc w:val="both"/>
        <w:outlineLvl w:val="0"/>
        <w:rPr>
          <w:rFonts w:ascii="PT Astra Serif" w:hAnsi="PT Astra Serif"/>
          <w:sz w:val="28"/>
          <w:szCs w:val="28"/>
        </w:rPr>
      </w:pPr>
      <w:r>
        <w:rPr>
          <w:rFonts w:ascii="PT Astra Serif" w:hAnsi="PT Astra Serif"/>
          <w:sz w:val="27"/>
          <w:szCs w:val="27"/>
        </w:rPr>
        <w:t>по подразделу 1103 «Спорт высших достижений» раздела 1100 «Физическая культура и спорт» в сумме 25,3 тыс. рублей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на реализацию государственной программы «Развитие молодежной политики, физической культуры и спорта в Томской области» ведомственного проекта «Развитие спортивной инфраструктуры» по подразделу 1102 «Массовый спорт» 1100 «Физическая культура и спорт» в сумме 50 207,4 тыс. рублей, в том числе:</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33 000,0 тыс. рублей на реализацию мероприятий по закупке и монтажу оборудования для создания модульных спортивных сооружений;</w:t>
      </w:r>
    </w:p>
    <w:p w:rsidR="000F3003" w:rsidRDefault="008B20D2">
      <w:pPr>
        <w:spacing w:line="360" w:lineRule="auto"/>
        <w:ind w:firstLine="709"/>
        <w:jc w:val="both"/>
        <w:rPr>
          <w:rFonts w:ascii="PT Astra Serif" w:hAnsi="PT Astra Serif"/>
          <w:sz w:val="28"/>
          <w:szCs w:val="28"/>
        </w:rPr>
      </w:pPr>
      <w:r>
        <w:rPr>
          <w:rFonts w:ascii="PT Astra Serif" w:hAnsi="PT Astra Serif"/>
          <w:sz w:val="27"/>
          <w:szCs w:val="27"/>
        </w:rPr>
        <w:t>в сумме 15 730,0 тыс. рублей на закупку и монтаж оборудования для создания «умных» спортивных площадок;</w:t>
      </w:r>
    </w:p>
    <w:p w:rsidR="000F3003" w:rsidRDefault="008B20D2">
      <w:pPr>
        <w:spacing w:line="360" w:lineRule="auto"/>
        <w:ind w:firstLine="708"/>
        <w:jc w:val="both"/>
        <w:outlineLvl w:val="0"/>
        <w:rPr>
          <w:rFonts w:ascii="PT Astra Serif" w:hAnsi="PT Astra Serif"/>
          <w:sz w:val="27"/>
          <w:szCs w:val="27"/>
        </w:rPr>
      </w:pPr>
      <w:r>
        <w:rPr>
          <w:rFonts w:ascii="PT Astra Serif" w:hAnsi="PT Astra Serif"/>
          <w:sz w:val="27"/>
          <w:szCs w:val="27"/>
        </w:rPr>
        <w:lastRenderedPageBreak/>
        <w:t>в сумме 1 477,4 тыс. рублей на оснащение объектов спортивной инфраструктуры спортивно-технологическим оборудованием;</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7) Департаменту по управлению государственной собственностью Томской области на реализацию государственной программы «Эффективное управление государственным имуществом Томской области» по подразделу 0412 «Другие вопросы в области национальной экономики» раздела 0400 «Национальная экономика» на реализацию комплекса процессных мероприятий «Проведение комплексных кадастровых работ на территории Томской области» в сумме 2 542,4 тыс. рублей;</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8) Департаменту строительства Томской области на реализацию государственной программы «Жилье и городская среда Томской области» в сумме 72 677,9 тыс. рублей, в том числе:</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по подразделу 0501 «Жилищное хозяйство» раздела 0500 «Жилищно-коммунальное хозяйство» на реализацию проекта «Бюджетный дом» ведомственного проекта «Обеспечение мероприятий по улучшению жилищных условий работников бюджетной сферы, работающих и проживающих в малых городах и сельских территориях» в сумме 50 000,0 тыс. рублей;</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по подразделу 0503 «Благоустройство» раздела 0500 «Жилищно-коммунальное хозяйство» на реализацию регионального проекта «Формирование комфортной городской среды» в сумме 5 677,9 тыс. рублей;</w:t>
      </w:r>
    </w:p>
    <w:p w:rsidR="000F3003" w:rsidRDefault="008B20D2">
      <w:pPr>
        <w:spacing w:line="360" w:lineRule="auto"/>
        <w:ind w:firstLine="708"/>
        <w:jc w:val="both"/>
        <w:rPr>
          <w:rFonts w:ascii="PT Astra Serif" w:hAnsi="PT Astra Serif"/>
          <w:sz w:val="27"/>
          <w:szCs w:val="27"/>
        </w:rPr>
      </w:pPr>
      <w:r>
        <w:rPr>
          <w:rFonts w:ascii="PT Astra Serif" w:hAnsi="PT Astra Serif"/>
          <w:sz w:val="27"/>
          <w:szCs w:val="27"/>
        </w:rPr>
        <w:t>по подразделу 1003 «Социальное обеспечение населения» раздела 1000 «Социальная политика» на реализацию комплекса процессных мероприятий «Улучшение жилищных условий молодых семей Томской области» в сумме 17 000,0 тыс. рублей;</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9) Департаменту транспорта, дорожной деятельности и связи Томской области на реализацию государственной программы «Развитие транспортной инфраструктуры в Томской области» по подразделу 0409 «Дорожное хозяйство (дорожные фонды)» раздела 0400 «Национальная экономика» на реализацию  ведомственного проекта «Капитальный ремонт и (или) ремонт автомобильных дорог общего пользования местного значения» в сумме 705 985,0 тыс. рублей;</w:t>
      </w:r>
    </w:p>
    <w:p w:rsidR="000F3003" w:rsidRDefault="008B20D2">
      <w:pPr>
        <w:spacing w:line="360" w:lineRule="auto"/>
        <w:ind w:firstLine="708"/>
        <w:jc w:val="both"/>
        <w:rPr>
          <w:rFonts w:ascii="PT Astra Serif" w:hAnsi="PT Astra Serif"/>
          <w:sz w:val="28"/>
          <w:szCs w:val="28"/>
        </w:rPr>
      </w:pPr>
      <w:r>
        <w:rPr>
          <w:rFonts w:ascii="PT Astra Serif" w:hAnsi="PT Astra Serif"/>
          <w:sz w:val="27"/>
          <w:szCs w:val="27"/>
        </w:rPr>
        <w:t xml:space="preserve">10) Департаменту ЖКХ и государственного жилищного надзора Томской области на реализацию государственной программы «Развитие коммунальной </w:t>
      </w:r>
      <w:proofErr w:type="spellStart"/>
      <w:r>
        <w:rPr>
          <w:rFonts w:ascii="PT Astra Serif" w:hAnsi="PT Astra Serif"/>
          <w:sz w:val="27"/>
          <w:szCs w:val="27"/>
        </w:rPr>
        <w:t>инфрастуктуры</w:t>
      </w:r>
      <w:proofErr w:type="spellEnd"/>
      <w:r>
        <w:rPr>
          <w:rFonts w:ascii="PT Astra Serif" w:hAnsi="PT Astra Serif"/>
          <w:sz w:val="27"/>
          <w:szCs w:val="27"/>
        </w:rPr>
        <w:t xml:space="preserve"> в </w:t>
      </w:r>
      <w:r>
        <w:rPr>
          <w:rFonts w:ascii="PT Astra Serif" w:hAnsi="PT Astra Serif"/>
          <w:sz w:val="27"/>
          <w:szCs w:val="27"/>
        </w:rPr>
        <w:lastRenderedPageBreak/>
        <w:t>Томской области» по подразделу 0502 «Коммунальное хозяйство» раздела 0500 «Жилищно-коммунальное хозяйство» в сумме 873 100,0 тыс. рублей, в том числе:</w:t>
      </w:r>
    </w:p>
    <w:p w:rsidR="000F3003" w:rsidRDefault="008B20D2">
      <w:pPr>
        <w:spacing w:line="360" w:lineRule="auto"/>
        <w:ind w:firstLine="708"/>
        <w:jc w:val="both"/>
        <w:rPr>
          <w:rFonts w:ascii="PT Astra Serif" w:hAnsi="PT Astra Serif"/>
          <w:sz w:val="27"/>
          <w:szCs w:val="27"/>
        </w:rPr>
      </w:pPr>
      <w:r>
        <w:rPr>
          <w:rFonts w:ascii="PT Astra Serif" w:hAnsi="PT Astra Serif"/>
          <w:sz w:val="27"/>
          <w:szCs w:val="27"/>
        </w:rPr>
        <w:t>на реализацию ведомственного проекта «Снижение количества аварий в системах отопления, водоснабжения и водоотведения коммунального комплекса Томской области» в сумме 100 000,0 тыс. рублей;</w:t>
      </w:r>
    </w:p>
    <w:p w:rsidR="000F3003" w:rsidRDefault="008B20D2">
      <w:pPr>
        <w:spacing w:line="360" w:lineRule="auto"/>
        <w:ind w:firstLine="708"/>
        <w:jc w:val="both"/>
        <w:rPr>
          <w:rFonts w:ascii="PT Astra Serif" w:hAnsi="PT Astra Serif"/>
          <w:sz w:val="27"/>
          <w:szCs w:val="27"/>
        </w:rPr>
      </w:pPr>
      <w:r>
        <w:rPr>
          <w:rFonts w:ascii="PT Astra Serif" w:hAnsi="PT Astra Serif"/>
          <w:sz w:val="27"/>
          <w:szCs w:val="27"/>
        </w:rPr>
        <w:t>на реализацию комплекса процессных мероприятий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 в сумме 773 100,0 тыс. рублей.</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11) Департаменту инвестиционной и промышленной политики Томской области на реализацию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по подразделу 0412 «Другие вопросы в области национальной экономики» раздела 0400 «Национальная экономика» на реализацию комплекса процессных мероприятий «Поддержка муниципальных программ, направленных на развитие малого и среднего предпринимательства» в сумме 54 953,8 тыс. рублей;</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5) Департаменту природных ресурсов и охраны окружающей среды Томской области на реализацию комплекса процессных мероприятий «Обеспечение экологической безопасности в области обращения с отходами» государственной программы «Охрана окружающей среды, воспроизводство и рациональное использование природных ресурсов» в сумме 125 075,9 тыс. рублей, в том числе:</w:t>
      </w:r>
    </w:p>
    <w:p w:rsidR="000F3003" w:rsidRDefault="008B20D2">
      <w:pPr>
        <w:spacing w:line="360" w:lineRule="auto"/>
        <w:ind w:firstLine="708"/>
        <w:jc w:val="both"/>
        <w:rPr>
          <w:rFonts w:ascii="PT Astra Serif" w:hAnsi="PT Astra Serif"/>
          <w:sz w:val="26"/>
          <w:szCs w:val="26"/>
        </w:rPr>
      </w:pPr>
      <w:r>
        <w:rPr>
          <w:rFonts w:ascii="PT Astra Serif" w:hAnsi="PT Astra Serif"/>
          <w:sz w:val="27"/>
          <w:szCs w:val="27"/>
        </w:rPr>
        <w:t>по подразделу 0503 «Благоустройство» раздела 0500 «Жилищно-коммунальное хозяйство» в сумме 42 000,0 тыс. рублей;</w:t>
      </w:r>
    </w:p>
    <w:p w:rsidR="000F3003" w:rsidRDefault="008B20D2">
      <w:pPr>
        <w:spacing w:line="360" w:lineRule="auto"/>
        <w:ind w:firstLine="708"/>
        <w:jc w:val="both"/>
        <w:outlineLvl w:val="0"/>
        <w:rPr>
          <w:rFonts w:ascii="PT Astra Serif" w:hAnsi="PT Astra Serif"/>
          <w:sz w:val="27"/>
          <w:szCs w:val="27"/>
        </w:rPr>
      </w:pPr>
      <w:r>
        <w:rPr>
          <w:rFonts w:ascii="PT Astra Serif" w:hAnsi="PT Astra Serif"/>
          <w:sz w:val="27"/>
          <w:szCs w:val="27"/>
        </w:rPr>
        <w:t>по подразделу 0605 «Другие вопросы в области охраны окружающей среды» раздела 0600 «Охрана окружающей среды» в сумме 83 075,9 тыс. рублей.</w:t>
      </w:r>
    </w:p>
    <w:p w:rsidR="00811FC3" w:rsidRDefault="00811FC3">
      <w:pPr>
        <w:spacing w:line="360" w:lineRule="auto"/>
        <w:ind w:firstLine="709"/>
        <w:jc w:val="both"/>
        <w:outlineLvl w:val="0"/>
        <w:rPr>
          <w:rFonts w:ascii="PT Astra Serif" w:hAnsi="PT Astra Serif"/>
          <w:sz w:val="28"/>
          <w:szCs w:val="28"/>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13</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8"/>
        <w:jc w:val="both"/>
        <w:rPr>
          <w:rFonts w:ascii="PT Astra Serif" w:eastAsia="Calibri" w:hAnsi="PT Astra Serif" w:cs="Calibri"/>
          <w:sz w:val="27"/>
          <w:szCs w:val="27"/>
        </w:rPr>
      </w:pPr>
      <w:r>
        <w:rPr>
          <w:rFonts w:ascii="PT Astra Serif" w:hAnsi="PT Astra Serif"/>
          <w:sz w:val="27"/>
          <w:szCs w:val="27"/>
        </w:rPr>
        <w:t xml:space="preserve">1. Установить, что субсидии юридическим лицам (за исключением субсидий государственным (муниципальным) учреждениям), индивидуальным </w:t>
      </w:r>
      <w:r>
        <w:rPr>
          <w:rFonts w:ascii="PT Astra Serif" w:hAnsi="PT Astra Serif"/>
          <w:sz w:val="27"/>
          <w:szCs w:val="27"/>
        </w:rPr>
        <w:lastRenderedPageBreak/>
        <w:t xml:space="preserve">предпринимателям, а также физическим лицам - производителям товаров, работ, услуг </w:t>
      </w:r>
      <w:r>
        <w:rPr>
          <w:rFonts w:ascii="PT Astra Serif" w:eastAsia="Calibri" w:hAnsi="PT Astra Serif" w:cs="PT Astra Serif"/>
          <w:sz w:val="27"/>
          <w:szCs w:val="27"/>
          <w:lang w:eastAsia="zh-CN"/>
        </w:rPr>
        <w:t xml:space="preserve">предоставляются </w:t>
      </w:r>
      <w:r>
        <w:rPr>
          <w:rFonts w:ascii="PT Astra Serif" w:hAnsi="PT Astra Serif"/>
          <w:sz w:val="27"/>
          <w:szCs w:val="27"/>
        </w:rPr>
        <w:t xml:space="preserve">в </w:t>
      </w:r>
      <w:hyperlink r:id="rId30" w:tooltip="consultantplus://offline/ref=D2F429F31CDEEC55E5308ABCBA6D69AE31466B1AE366E97C4FACAF286E066C7C87011B2C7C51250FE3038C652722488729745B827AF8BC668B9C92C235f9C" w:history="1">
        <w:r>
          <w:rPr>
            <w:rFonts w:ascii="PT Astra Serif" w:hAnsi="PT Astra Serif"/>
            <w:sz w:val="27"/>
            <w:szCs w:val="27"/>
          </w:rPr>
          <w:t>случаях</w:t>
        </w:r>
      </w:hyperlink>
      <w:r>
        <w:rPr>
          <w:rFonts w:ascii="PT Astra Serif" w:hAnsi="PT Astra Serif"/>
          <w:sz w:val="27"/>
          <w:szCs w:val="27"/>
        </w:rPr>
        <w:t>, предусмотренных приложением 11 к настоящему Закону</w:t>
      </w:r>
      <w:r>
        <w:rPr>
          <w:rFonts w:ascii="PT Astra Serif" w:eastAsia="Calibri" w:hAnsi="PT Astra Serif" w:cs="Calibri"/>
          <w:sz w:val="27"/>
          <w:szCs w:val="27"/>
        </w:rPr>
        <w:t>.</w:t>
      </w:r>
    </w:p>
    <w:p w:rsidR="000F3003" w:rsidRDefault="008B20D2">
      <w:pPr>
        <w:spacing w:line="360" w:lineRule="auto"/>
        <w:ind w:firstLine="709"/>
        <w:jc w:val="both"/>
        <w:rPr>
          <w:rFonts w:ascii="PT Astra Serif" w:hAnsi="PT Astra Serif"/>
          <w:sz w:val="27"/>
          <w:szCs w:val="27"/>
        </w:rPr>
      </w:pPr>
      <w:r>
        <w:rPr>
          <w:rFonts w:ascii="PT Astra Serif" w:hAnsi="PT Astra Serif"/>
          <w:sz w:val="27"/>
          <w:szCs w:val="27"/>
        </w:rPr>
        <w:t xml:space="preserve">2. Установить, что субсидии иным некоммерческим организациям, не являющимся государственными (муниципальными) учреждениями, предоставляются в </w:t>
      </w:r>
      <w:hyperlink r:id="rId31" w:tooltip="consultantplus://offline/ref=D2F429F31CDEEC55E5308ABCBA6D69AE31466B1AE366E97C4FACAF286E066C7C87011B2C7C51250FE3038C652722488729745B827AF8BC668B9C92C235f9C" w:history="1">
        <w:r>
          <w:rPr>
            <w:rFonts w:ascii="PT Astra Serif" w:hAnsi="PT Astra Serif"/>
            <w:sz w:val="27"/>
            <w:szCs w:val="27"/>
          </w:rPr>
          <w:t>случаях</w:t>
        </w:r>
      </w:hyperlink>
      <w:r>
        <w:rPr>
          <w:rFonts w:ascii="PT Astra Serif" w:hAnsi="PT Astra Serif"/>
          <w:sz w:val="27"/>
          <w:szCs w:val="27"/>
        </w:rPr>
        <w:t xml:space="preserve">, предусмотренных приложением 10 к настоящему Закону. </w:t>
      </w:r>
    </w:p>
    <w:p w:rsidR="000F3003" w:rsidRDefault="000F3003">
      <w:pPr>
        <w:spacing w:line="360" w:lineRule="auto"/>
        <w:ind w:firstLine="709"/>
        <w:jc w:val="both"/>
        <w:rPr>
          <w:rFonts w:ascii="PT Astra Serif" w:hAnsi="PT Astra Serif"/>
          <w:bCs/>
          <w:sz w:val="27"/>
          <w:szCs w:val="27"/>
        </w:rPr>
      </w:pPr>
    </w:p>
    <w:p w:rsidR="00811FC3" w:rsidRDefault="00811FC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14</w:t>
      </w:r>
    </w:p>
    <w:p w:rsidR="000F3003" w:rsidRDefault="000F300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1. Установить критерии выравнивания финансовых возможностей поселений по осуществлению органами местного самоуправления поселений полномочий по решению вопросов местного значения для определения объема дотаций на выравнивание бюджетной обеспеченности поселений в 2026 году – 1 363 рублей на 1 жителя, в 2027 году – 1 372 рубля на 1 жителя, в 2028 году – 1 382,5 рубля на 1 жителя.</w:t>
      </w: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2. Установить критерии выравнивани</w:t>
      </w:r>
      <w:r>
        <w:rPr>
          <w:rFonts w:ascii="PT Astra Serif" w:hAnsi="PT Astra Serif"/>
          <w:bCs/>
          <w:sz w:val="27"/>
          <w:szCs w:val="27"/>
          <w:highlight w:val="white"/>
        </w:rPr>
        <w:t>я расчетной бюджетной обеспеченности муниципаль</w:t>
      </w:r>
      <w:r>
        <w:rPr>
          <w:rFonts w:ascii="PT Astra Serif" w:hAnsi="PT Astra Serif"/>
          <w:sz w:val="27"/>
          <w:szCs w:val="27"/>
          <w:highlight w:val="white"/>
        </w:rPr>
        <w:t>ных районов, муниципальных округов, городских округов для определения объема дотаций на выравнивание бюджетной обеспеченности муниципальных районов, муниципальных округов, городских округов в 2026 год</w:t>
      </w:r>
      <w:r>
        <w:rPr>
          <w:rFonts w:ascii="PT Astra Serif" w:hAnsi="PT Astra Serif"/>
          <w:bCs/>
          <w:sz w:val="27"/>
          <w:szCs w:val="27"/>
        </w:rPr>
        <w:t>у – 90 процентов, в 2027 году – 85 процентов, в 2028 году – 85 процентов от муниципального образования с максимальной бюджетной обеспеченностью.</w:t>
      </w:r>
    </w:p>
    <w:p w:rsidR="000F3003" w:rsidRDefault="000F3003">
      <w:pPr>
        <w:spacing w:line="360" w:lineRule="auto"/>
        <w:ind w:firstLine="709"/>
        <w:jc w:val="both"/>
        <w:rPr>
          <w:rFonts w:ascii="PT Astra Serif" w:hAnsi="PT Astra Serif"/>
          <w:sz w:val="27"/>
          <w:szCs w:val="27"/>
        </w:rPr>
      </w:pPr>
    </w:p>
    <w:p w:rsidR="00811FC3" w:rsidRDefault="00811FC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15</w:t>
      </w:r>
    </w:p>
    <w:p w:rsidR="000F3003" w:rsidRDefault="000F300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Установить с 1 января 2026 года размер индексации социальных пособий и иных социальных выплат гражданам, подлежащих индексации в соответствии с нормативными правовыми актами Томской области, 1.</w:t>
      </w:r>
    </w:p>
    <w:p w:rsidR="000F3003" w:rsidRDefault="000F3003">
      <w:pPr>
        <w:spacing w:line="360" w:lineRule="auto"/>
        <w:ind w:firstLine="709"/>
        <w:jc w:val="both"/>
        <w:rPr>
          <w:rFonts w:ascii="PT Astra Serif" w:hAnsi="PT Astra Serif"/>
          <w:b/>
          <w:bCs/>
          <w:sz w:val="27"/>
          <w:szCs w:val="27"/>
        </w:rPr>
      </w:pPr>
    </w:p>
    <w:p w:rsidR="00811FC3" w:rsidRDefault="00811FC3">
      <w:pPr>
        <w:spacing w:line="360" w:lineRule="auto"/>
        <w:ind w:firstLine="709"/>
        <w:jc w:val="both"/>
        <w:rPr>
          <w:rFonts w:ascii="PT Astra Serif" w:hAnsi="PT Astra Serif"/>
          <w:b/>
          <w:bCs/>
          <w:sz w:val="27"/>
          <w:szCs w:val="27"/>
        </w:rPr>
      </w:pPr>
    </w:p>
    <w:p w:rsidR="00811FC3" w:rsidRDefault="00811FC3">
      <w:pPr>
        <w:spacing w:line="360" w:lineRule="auto"/>
        <w:ind w:firstLine="709"/>
        <w:jc w:val="both"/>
        <w:rPr>
          <w:rFonts w:ascii="PT Astra Serif" w:hAnsi="PT Astra Serif"/>
          <w:b/>
          <w:bCs/>
          <w:sz w:val="27"/>
          <w:szCs w:val="27"/>
        </w:rPr>
      </w:pPr>
    </w:p>
    <w:p w:rsidR="00811FC3" w:rsidRDefault="00811FC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lastRenderedPageBreak/>
        <w:t>Статья 16</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Установить, что при заключении подлежащего оплате за счет средств областного бюджета гражданско-правового договора (государственного контракта), предметом которого являются поставка товара, выполнение работы, оказание услуги, получателями средств областного бюджета могут предусматриваться авансовые платежи:</w:t>
      </w: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 xml:space="preserve">в размере до 100 процентов суммы договора (контракта), но не более лимитов бюджетных обязательств, подлежащих исполнению за счет средств областного бюджета в соответствующем финансовом году, - по договорам с исполнением по требованию (абонентским договорам), договорам (контрактам) об оказании услуг связи, об оказании услуг (выполнении работ) в сфере экологического образования детей, об обеспечении участия спортсменов и тренеров сборных команд в выездных спортивных мероприятиях, об организации и проведении региональных и межмуниципальных официальных физкультурных и спортивных мероприятий, о подписке на печатные издания и об их приобретении, обучении на курсах повышения квалификации, обеспечении и организации участия в семинарах, </w:t>
      </w:r>
      <w:proofErr w:type="spellStart"/>
      <w:r>
        <w:rPr>
          <w:rFonts w:ascii="PT Astra Serif" w:hAnsi="PT Astra Serif"/>
          <w:bCs/>
          <w:sz w:val="27"/>
          <w:szCs w:val="27"/>
        </w:rPr>
        <w:t>вебинарах</w:t>
      </w:r>
      <w:proofErr w:type="spellEnd"/>
      <w:r>
        <w:rPr>
          <w:rFonts w:ascii="PT Astra Serif" w:hAnsi="PT Astra Serif"/>
          <w:bCs/>
          <w:sz w:val="27"/>
          <w:szCs w:val="27"/>
        </w:rPr>
        <w:t xml:space="preserve">, конференциях, форумах, олимпиадах, конкурсах, чемпионатах профессионального мастерства, творческих фестивалях, приобретении авиа- и железнодорожных билетов, билетов для проезда городским и пригородным транспортом и путевок на санаторно-курортное лечение, обязательного страхования гражданской ответственности владельцев транспортных средств, на организацию концертов и выступлений артистов, групп, творческих коллективов, по договорам (контрактам), связанным с созданием квалифицированного сертификата ключа проверки электронной подписи, аккредитованным удостоверяющим центром, </w:t>
      </w:r>
      <w:r>
        <w:rPr>
          <w:rFonts w:ascii="PT Astra Serif" w:eastAsia="Calibri" w:hAnsi="PT Astra Serif" w:cs="PT Astra Serif"/>
          <w:sz w:val="27"/>
          <w:szCs w:val="27"/>
        </w:rPr>
        <w:t>по договорам (контрактам) на осуществление технологического присоединения к сетям инженерно-технического обеспечения (газо-, тепло-, электро-, водоснабжение, водоотведение), а также по договорам (контрактам), связанным с обслуживанием и управлением государственным внутренним долгом Томской области</w:t>
      </w:r>
      <w:r>
        <w:rPr>
          <w:rFonts w:ascii="PT Astra Serif" w:hAnsi="PT Astra Serif"/>
          <w:bCs/>
          <w:sz w:val="27"/>
          <w:szCs w:val="27"/>
        </w:rPr>
        <w:t>;</w:t>
      </w: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 xml:space="preserve">в размере до 30 процентов суммы договора (контракта), но не более 30 процентов лимитов бюджетных обязательств, подлежащих исполнению за счет средств </w:t>
      </w:r>
      <w:r>
        <w:rPr>
          <w:rFonts w:ascii="PT Astra Serif" w:hAnsi="PT Astra Serif"/>
          <w:bCs/>
          <w:sz w:val="27"/>
          <w:szCs w:val="27"/>
        </w:rPr>
        <w:lastRenderedPageBreak/>
        <w:t>областного бюджета в соответствующем финансовом году, - по остальным договорам (контрактам), если иное не предусмотрено законодательством Российской Федерации и Томской области.</w:t>
      </w:r>
    </w:p>
    <w:p w:rsidR="000F3003" w:rsidRDefault="000F3003">
      <w:pPr>
        <w:spacing w:line="360" w:lineRule="auto"/>
        <w:ind w:firstLine="709"/>
        <w:jc w:val="both"/>
        <w:rPr>
          <w:rFonts w:ascii="PT Astra Serif" w:hAnsi="PT Astra Serif"/>
          <w:bCs/>
          <w:sz w:val="27"/>
          <w:szCs w:val="27"/>
        </w:rPr>
      </w:pPr>
    </w:p>
    <w:p w:rsidR="00811FC3" w:rsidRDefault="00811FC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b/>
          <w:bCs/>
          <w:sz w:val="27"/>
          <w:szCs w:val="27"/>
          <w:highlight w:val="white"/>
        </w:rPr>
      </w:pPr>
      <w:r>
        <w:rPr>
          <w:rFonts w:ascii="PT Astra Serif" w:hAnsi="PT Astra Serif"/>
          <w:b/>
          <w:bCs/>
          <w:sz w:val="27"/>
          <w:szCs w:val="27"/>
          <w:highlight w:val="white"/>
        </w:rPr>
        <w:t xml:space="preserve">Статья 17 </w:t>
      </w:r>
    </w:p>
    <w:p w:rsidR="000F3003" w:rsidRDefault="000F3003">
      <w:pPr>
        <w:spacing w:line="360" w:lineRule="auto"/>
        <w:ind w:firstLine="709"/>
        <w:jc w:val="both"/>
        <w:rPr>
          <w:rFonts w:ascii="PT Astra Serif" w:hAnsi="PT Astra Serif"/>
          <w:bCs/>
          <w:sz w:val="27"/>
          <w:szCs w:val="27"/>
          <w:highlight w:val="white"/>
        </w:rPr>
      </w:pPr>
    </w:p>
    <w:p w:rsidR="000F3003" w:rsidRDefault="008B20D2">
      <w:pPr>
        <w:spacing w:line="360" w:lineRule="auto"/>
        <w:ind w:firstLine="709"/>
        <w:jc w:val="both"/>
        <w:rPr>
          <w:rFonts w:ascii="PT Astra Serif" w:hAnsi="PT Astra Serif"/>
          <w:bCs/>
          <w:sz w:val="27"/>
          <w:szCs w:val="27"/>
          <w:highlight w:val="white"/>
        </w:rPr>
      </w:pPr>
      <w:r>
        <w:rPr>
          <w:rFonts w:ascii="PT Astra Serif" w:hAnsi="PT Astra Serif"/>
          <w:bCs/>
          <w:sz w:val="27"/>
          <w:szCs w:val="27"/>
          <w:highlight w:val="white"/>
        </w:rPr>
        <w:t xml:space="preserve">Утвердить </w:t>
      </w:r>
      <w:hyperlink r:id="rId32" w:tooltip="consultantplus://offline/ref=D2F429F31CDEEC55E5308ABCBA6D69AE31466B1AE366E97C4FACAF286E066C7C87011B2C7C51250FE20084682422488729745B827AF8BC668B9C92C235f9C" w:history="1">
        <w:r>
          <w:rPr>
            <w:rFonts w:ascii="PT Astra Serif" w:hAnsi="PT Astra Serif"/>
            <w:bCs/>
            <w:sz w:val="27"/>
            <w:szCs w:val="27"/>
            <w:highlight w:val="white"/>
          </w:rPr>
          <w:t>перечень</w:t>
        </w:r>
      </w:hyperlink>
      <w:r>
        <w:rPr>
          <w:rFonts w:ascii="PT Astra Serif" w:hAnsi="PT Astra Serif"/>
          <w:bCs/>
          <w:sz w:val="27"/>
          <w:szCs w:val="27"/>
          <w:highlight w:val="white"/>
        </w:rPr>
        <w:t xml:space="preserve"> субсидий бюджетам муниципальных образований, предоставляемых из областного бюджета в целях </w:t>
      </w:r>
      <w:proofErr w:type="spellStart"/>
      <w:r>
        <w:rPr>
          <w:rFonts w:ascii="PT Astra Serif" w:hAnsi="PT Astra Serif"/>
          <w:bCs/>
          <w:sz w:val="27"/>
          <w:szCs w:val="27"/>
          <w:highlight w:val="white"/>
        </w:rPr>
        <w:t>софинансирования</w:t>
      </w:r>
      <w:proofErr w:type="spellEnd"/>
      <w:r>
        <w:rPr>
          <w:rFonts w:ascii="PT Astra Serif" w:hAnsi="PT Astra Serif"/>
          <w:bCs/>
          <w:sz w:val="27"/>
          <w:szCs w:val="27"/>
          <w:highlight w:val="white"/>
        </w:rPr>
        <w:t xml:space="preserve"> расходных обязательств, возникающих при выполнении полномочий органов местного самоуправления по решению вопросов местного значения, согласно приложению 12 к настоящему Закону.</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 xml:space="preserve">Статья 18 </w:t>
      </w:r>
    </w:p>
    <w:p w:rsidR="000F3003" w:rsidRDefault="000F300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1. Установить, что в 2026 году перечисление межбюджетных трансфертов, финансовое обеспечение (</w:t>
      </w:r>
      <w:proofErr w:type="spellStart"/>
      <w:r>
        <w:rPr>
          <w:rFonts w:ascii="PT Astra Serif" w:hAnsi="PT Astra Serif"/>
          <w:bCs/>
          <w:sz w:val="27"/>
          <w:szCs w:val="27"/>
        </w:rPr>
        <w:t>софинансирование</w:t>
      </w:r>
      <w:proofErr w:type="spellEnd"/>
      <w:r>
        <w:rPr>
          <w:rFonts w:ascii="PT Astra Serif" w:hAnsi="PT Astra Serif"/>
          <w:bCs/>
          <w:sz w:val="27"/>
          <w:szCs w:val="27"/>
        </w:rPr>
        <w:t xml:space="preserve">) которых осуществляется за счет межбюджетных трансфертов из федерального бюджета, имеющих целевое назначение, предоставляемых из областного бюджета в местный бюджет в форме субсидий, субвенций и иных межбюджетных трансфертов, имеющих целевое назначение, осуществляется в пределах суммы, необходимой для оплаты денежных обязательств по расходам получателей средств местного бюджета в целях </w:t>
      </w:r>
      <w:proofErr w:type="spellStart"/>
      <w:r>
        <w:rPr>
          <w:rFonts w:ascii="PT Astra Serif" w:hAnsi="PT Astra Serif"/>
          <w:bCs/>
          <w:sz w:val="27"/>
          <w:szCs w:val="27"/>
        </w:rPr>
        <w:t>софинансирования</w:t>
      </w:r>
      <w:proofErr w:type="spellEnd"/>
      <w:r>
        <w:rPr>
          <w:rFonts w:ascii="PT Astra Serif" w:hAnsi="PT Astra Serif"/>
          <w:bCs/>
          <w:sz w:val="27"/>
          <w:szCs w:val="27"/>
        </w:rPr>
        <w:t xml:space="preserve"> (финансового обеспечения) которых предоставляются такие межбюджетные трансферты, в порядке, установленном Федеральным казначейством.</w:t>
      </w:r>
    </w:p>
    <w:p w:rsidR="000F3003" w:rsidRDefault="008B20D2">
      <w:pPr>
        <w:spacing w:line="360" w:lineRule="auto"/>
        <w:ind w:firstLine="709"/>
        <w:jc w:val="both"/>
        <w:rPr>
          <w:rFonts w:ascii="PT Astra Serif" w:hAnsi="PT Astra Serif"/>
          <w:bCs/>
          <w:i/>
          <w:sz w:val="22"/>
          <w:szCs w:val="22"/>
        </w:rPr>
      </w:pPr>
      <w:r>
        <w:rPr>
          <w:rFonts w:ascii="PT Astra Serif" w:hAnsi="PT Astra Serif"/>
          <w:bCs/>
          <w:sz w:val="27"/>
          <w:szCs w:val="27"/>
        </w:rPr>
        <w:t>2. Установить, что полномочия получателя средств областного бюджета по перечислению межбюджетных трансфертов, указанных в части 1 настоящей статьи, подлежат передаче Управлению Федерального казначейства по Томской области на основании решений главных распорядителей средств областного бюджета.</w:t>
      </w:r>
      <w:r>
        <w:rPr>
          <w:rFonts w:ascii="PT Astra Serif" w:hAnsi="PT Astra Serif"/>
          <w:bCs/>
          <w:i/>
          <w:sz w:val="27"/>
          <w:szCs w:val="27"/>
        </w:rPr>
        <w:t xml:space="preserve"> </w:t>
      </w:r>
    </w:p>
    <w:p w:rsidR="000F3003" w:rsidRDefault="000F3003">
      <w:pPr>
        <w:spacing w:line="360" w:lineRule="auto"/>
        <w:ind w:firstLine="709"/>
        <w:jc w:val="both"/>
        <w:rPr>
          <w:rFonts w:ascii="PT Astra Serif" w:hAnsi="PT Astra Serif"/>
          <w:b/>
          <w:bCs/>
          <w:sz w:val="27"/>
          <w:szCs w:val="27"/>
        </w:rPr>
      </w:pPr>
    </w:p>
    <w:p w:rsidR="00811FC3" w:rsidRDefault="00811FC3">
      <w:pPr>
        <w:spacing w:line="360" w:lineRule="auto"/>
        <w:ind w:firstLine="709"/>
        <w:jc w:val="both"/>
        <w:rPr>
          <w:rFonts w:ascii="PT Astra Serif" w:hAnsi="PT Astra Serif"/>
          <w:b/>
          <w:bCs/>
          <w:sz w:val="27"/>
          <w:szCs w:val="27"/>
        </w:rPr>
      </w:pPr>
    </w:p>
    <w:p w:rsidR="00811FC3" w:rsidRDefault="00811FC3">
      <w:pPr>
        <w:spacing w:line="360" w:lineRule="auto"/>
        <w:ind w:firstLine="709"/>
        <w:jc w:val="both"/>
        <w:rPr>
          <w:rFonts w:ascii="PT Astra Serif" w:hAnsi="PT Astra Serif"/>
          <w:b/>
          <w:bCs/>
          <w:sz w:val="27"/>
          <w:szCs w:val="27"/>
        </w:rPr>
      </w:pPr>
      <w:bookmarkStart w:id="2" w:name="_GoBack"/>
      <w:bookmarkEnd w:id="2"/>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lastRenderedPageBreak/>
        <w:t>Статья 19</w:t>
      </w:r>
    </w:p>
    <w:p w:rsidR="000F3003" w:rsidRDefault="000F300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Установить, что казначейскому сопровождению подлежат следующие средства:</w:t>
      </w:r>
    </w:p>
    <w:p w:rsidR="000F3003" w:rsidRDefault="008B20D2">
      <w:pPr>
        <w:spacing w:line="360" w:lineRule="auto"/>
        <w:ind w:firstLine="709"/>
        <w:jc w:val="both"/>
        <w:rPr>
          <w:rFonts w:ascii="PT Astra Serif" w:hAnsi="PT Astra Serif"/>
          <w:bCs/>
          <w:i/>
          <w:sz w:val="27"/>
          <w:szCs w:val="27"/>
        </w:rPr>
      </w:pPr>
      <w:r>
        <w:rPr>
          <w:rFonts w:ascii="PT Astra Serif" w:hAnsi="PT Astra Serif"/>
          <w:bCs/>
          <w:sz w:val="27"/>
          <w:szCs w:val="27"/>
        </w:rPr>
        <w:t xml:space="preserve">1) субсидии (гранты в форме субсидий), предоставляемые из областного бюджета юридическим лицам, крестьянским (фермерским) хозяйствам, индивидуальным предпринимателям, источником финансового обеспечения которых являются межбюджетные трансферты, имеющие целевое назначение, предоставляемые из федерального бюджета в целях </w:t>
      </w:r>
      <w:proofErr w:type="spellStart"/>
      <w:r>
        <w:rPr>
          <w:rFonts w:ascii="PT Astra Serif" w:hAnsi="PT Astra Serif"/>
          <w:bCs/>
          <w:sz w:val="27"/>
          <w:szCs w:val="27"/>
        </w:rPr>
        <w:t>софинансирования</w:t>
      </w:r>
      <w:proofErr w:type="spellEnd"/>
      <w:r>
        <w:rPr>
          <w:rFonts w:ascii="PT Astra Serif" w:hAnsi="PT Astra Serif"/>
          <w:bCs/>
          <w:sz w:val="27"/>
          <w:szCs w:val="27"/>
        </w:rPr>
        <w:t xml:space="preserve"> расходных обязательств субъектов Российской Федерации по поддержке промышленности и сельского хозяйства, а также авансовые платежи по контрактам (договорам), источником финансового обеспечения которых являются указанные субсидии;</w:t>
      </w: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2) субсидии юридическим лицам, бюджетные инвестиции, предоставляемые из областного бюджета в соответствии с условиями концессионных соглашений;</w:t>
      </w: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 xml:space="preserve">3) </w:t>
      </w:r>
      <w:r>
        <w:rPr>
          <w:rFonts w:ascii="PT Astra Serif" w:hAnsi="PT Astra Serif"/>
          <w:sz w:val="27"/>
          <w:szCs w:val="27"/>
        </w:rPr>
        <w:t>авансовые платежи по государственным контрактам (договорам) на капитальный ремонт и строительство объектов капитального строительства государственной собственности;</w:t>
      </w:r>
    </w:p>
    <w:p w:rsidR="000F3003" w:rsidRDefault="008B20D2">
      <w:pPr>
        <w:spacing w:line="360" w:lineRule="auto"/>
        <w:ind w:firstLine="709"/>
        <w:jc w:val="both"/>
        <w:rPr>
          <w:rFonts w:ascii="PT Astra Serif" w:hAnsi="PT Astra Serif"/>
          <w:bCs/>
          <w:sz w:val="27"/>
          <w:szCs w:val="27"/>
        </w:rPr>
      </w:pPr>
      <w:r>
        <w:rPr>
          <w:rFonts w:ascii="PT Astra Serif" w:hAnsi="PT Astra Serif"/>
          <w:sz w:val="27"/>
          <w:szCs w:val="27"/>
        </w:rPr>
        <w:t>4) авансовые платежи по контрактам (договорам), заключаемым исполнителями и соисполнителями в рамках исполнения государственных контрактов (договоров), указанных в пункте 3) настоящей статьи.</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20</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bCs/>
          <w:sz w:val="27"/>
          <w:szCs w:val="27"/>
        </w:rPr>
        <w:t>Установить предельную величину Резервного фонда Томской области на 2026 год в с</w:t>
      </w:r>
      <w:r>
        <w:rPr>
          <w:rFonts w:ascii="PT Astra Serif" w:hAnsi="PT Astra Serif"/>
          <w:sz w:val="27"/>
          <w:szCs w:val="27"/>
        </w:rPr>
        <w:t>умме 1 000 000,0 тыс. рублей, на 2027 год в сумме 1 000 000,0 тыс. рублей, на 2028 год в сумме 1 000 000,0 тыс. рублей.</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21</w:t>
      </w:r>
    </w:p>
    <w:p w:rsidR="000F3003" w:rsidRDefault="000F3003">
      <w:pPr>
        <w:spacing w:line="360" w:lineRule="auto"/>
        <w:ind w:firstLine="709"/>
        <w:jc w:val="both"/>
        <w:rPr>
          <w:rFonts w:ascii="PT Astra Serif" w:hAnsi="PT Astra Serif"/>
          <w:bCs/>
          <w:sz w:val="27"/>
          <w:szCs w:val="27"/>
        </w:rPr>
      </w:pPr>
    </w:p>
    <w:p w:rsidR="000F3003" w:rsidRDefault="008B20D2">
      <w:pPr>
        <w:spacing w:line="360" w:lineRule="auto"/>
        <w:ind w:firstLine="709"/>
        <w:jc w:val="both"/>
        <w:rPr>
          <w:rFonts w:ascii="PT Astra Serif" w:hAnsi="PT Astra Serif"/>
          <w:sz w:val="27"/>
          <w:szCs w:val="27"/>
        </w:rPr>
      </w:pPr>
      <w:r>
        <w:rPr>
          <w:rFonts w:ascii="PT Astra Serif" w:hAnsi="PT Astra Serif"/>
          <w:bCs/>
          <w:sz w:val="27"/>
          <w:szCs w:val="27"/>
        </w:rPr>
        <w:t xml:space="preserve">1. Установить, что поступающие в бюджет Томской области неналоговые доходы в виде платы за негативное воздействие на окружающую среду, административных штрафов за административные правонарушения в области охраны окружающей среды </w:t>
      </w:r>
      <w:r>
        <w:rPr>
          <w:rFonts w:ascii="PT Astra Serif" w:hAnsi="PT Astra Serif"/>
          <w:bCs/>
          <w:sz w:val="27"/>
          <w:szCs w:val="27"/>
        </w:rPr>
        <w:lastRenderedPageBreak/>
        <w:t>и природопользования, платежей по искам о возмещении вреда, причиненного окружающей среде вследствие нарушений обязательных требований, а также платежей, уплачиваемых при добровольном возмещении вреда, причиненного окружающей среде вследствие нарушений обязательных требований, направляются на реализацию плана мероприятий, указанных в пункте 1 статьи 16.6, пункте 1 статьи 75.1 и пункте 1 статьи 78.2 Федерального закона от 10 января 2002 года № 7-ФЗ «Об охране окружающей среды», Томской области, утвержденного исполнительным органом Томской области, осуществляющим государственное управление в области охраны окружающей среды, по согласованию</w:t>
      </w:r>
      <w:r>
        <w:rPr>
          <w:rFonts w:ascii="PT Astra Serif" w:hAnsi="PT Astra Serif"/>
          <w:sz w:val="27"/>
          <w:szCs w:val="27"/>
        </w:rPr>
        <w:t xml:space="preserve"> с уполномоченным Правительством Российской Федерации федеральным органом исполнительной власти (далее – План).</w:t>
      </w:r>
    </w:p>
    <w:p w:rsidR="000F3003" w:rsidRDefault="008B20D2">
      <w:pPr>
        <w:pBdr>
          <w:top w:val="none" w:sz="4" w:space="0" w:color="000000"/>
          <w:left w:val="none" w:sz="4" w:space="0" w:color="000000"/>
          <w:bottom w:val="none" w:sz="4" w:space="0" w:color="000000"/>
          <w:right w:val="none" w:sz="4" w:space="0" w:color="000000"/>
        </w:pBdr>
        <w:spacing w:line="360" w:lineRule="auto"/>
        <w:ind w:firstLine="709"/>
        <w:jc w:val="both"/>
        <w:rPr>
          <w:rFonts w:ascii="PT Astra Serif" w:hAnsi="PT Astra Serif"/>
          <w:sz w:val="27"/>
          <w:szCs w:val="27"/>
        </w:rPr>
      </w:pPr>
      <w:r>
        <w:rPr>
          <w:rFonts w:ascii="PT Astra Serif" w:hAnsi="PT Astra Serif"/>
          <w:sz w:val="27"/>
          <w:szCs w:val="27"/>
        </w:rPr>
        <w:t xml:space="preserve">2. Установить, что остатки средств бюджета Томской области на 1 января 2026 года в объеме неполного использования бюджетных ассигнований от поступлений в 2025 году платы за негативное воздействие на окружающую среду, административных штрафов за административные правонарушения в области охраны окружающей среды и природопользования, платежей по искам о возмещении вреда, причиненного окружающей среде вследствие нарушений обязательных требований, а также платежей, уплачиваемых при добровольном возмещении вреда, причиненного окружающей среде вследствие нарушений обязательных требований, направляются на увеличение в 2026 году объема бюджетных ассигнований на </w:t>
      </w:r>
      <w:r>
        <w:rPr>
          <w:rFonts w:ascii="PT Astra Serif" w:eastAsia="Calibri" w:hAnsi="PT Astra Serif" w:cs="PT Astra Serif"/>
          <w:sz w:val="27"/>
          <w:szCs w:val="27"/>
        </w:rPr>
        <w:t>реализацию Плана.</w:t>
      </w:r>
    </w:p>
    <w:p w:rsidR="000F3003" w:rsidRDefault="008B20D2">
      <w:pPr>
        <w:spacing w:line="360" w:lineRule="auto"/>
        <w:ind w:firstLine="709"/>
        <w:jc w:val="both"/>
        <w:rPr>
          <w:rFonts w:ascii="PT Astra Serif" w:hAnsi="PT Astra Serif"/>
          <w:bCs/>
          <w:sz w:val="27"/>
          <w:szCs w:val="27"/>
        </w:rPr>
      </w:pPr>
      <w:r>
        <w:rPr>
          <w:rFonts w:ascii="PT Astra Serif" w:eastAsia="Calibri" w:hAnsi="PT Astra Serif" w:cs="PT Astra Serif"/>
          <w:sz w:val="27"/>
          <w:szCs w:val="27"/>
        </w:rPr>
        <w:t xml:space="preserve">3. Объем бюджетных ассигнований от поступлений платы за негативное воздействие на окружающую среду, административных штрафов за административные правонарушения в области охраны окружающей среды и природопользования, платежей по искам о возмещении вреда, причиненного окружающей среде вследствие нарушений обязательных требований, а также платежей, уплачиваемых при добровольном возмещении вреда, причиненного окружающей среде вследствие нарушений обязательных требований, подлежит корректировке в 2026 году с учетом разницы между фактически поступившим в отчетном финансовом году и </w:t>
      </w:r>
      <w:proofErr w:type="spellStart"/>
      <w:r>
        <w:rPr>
          <w:rFonts w:ascii="PT Astra Serif" w:eastAsia="Calibri" w:hAnsi="PT Astra Serif" w:cs="PT Astra Serif"/>
          <w:sz w:val="27"/>
          <w:szCs w:val="27"/>
        </w:rPr>
        <w:t>прогнозировавшимся</w:t>
      </w:r>
      <w:proofErr w:type="spellEnd"/>
      <w:r>
        <w:rPr>
          <w:rFonts w:ascii="PT Astra Serif" w:eastAsia="Calibri" w:hAnsi="PT Astra Serif" w:cs="PT Astra Serif"/>
          <w:sz w:val="27"/>
          <w:szCs w:val="27"/>
        </w:rPr>
        <w:t xml:space="preserve"> объемом указанных доходов. Указанная разница, при ее положительном значении, подлежит уменьшению на величину отклонения в 2025 году фактического объема расходов на реализацию Плана от суммы </w:t>
      </w:r>
      <w:proofErr w:type="spellStart"/>
      <w:r>
        <w:rPr>
          <w:rFonts w:ascii="PT Astra Serif" w:eastAsia="Calibri" w:hAnsi="PT Astra Serif" w:cs="PT Astra Serif"/>
          <w:sz w:val="27"/>
          <w:szCs w:val="27"/>
        </w:rPr>
        <w:t>прогнозировавшегося</w:t>
      </w:r>
      <w:proofErr w:type="spellEnd"/>
      <w:r>
        <w:rPr>
          <w:rFonts w:ascii="PT Astra Serif" w:eastAsia="Calibri" w:hAnsi="PT Astra Serif" w:cs="PT Astra Serif"/>
          <w:sz w:val="27"/>
          <w:szCs w:val="27"/>
        </w:rPr>
        <w:t xml:space="preserve"> на 2025 год объема указанных доходов.</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
          <w:bCs/>
          <w:sz w:val="27"/>
          <w:szCs w:val="27"/>
        </w:rPr>
      </w:pPr>
      <w:r>
        <w:rPr>
          <w:rFonts w:ascii="PT Astra Serif" w:hAnsi="PT Astra Serif"/>
          <w:b/>
          <w:bCs/>
          <w:sz w:val="27"/>
          <w:szCs w:val="27"/>
        </w:rPr>
        <w:t>Статья 22</w:t>
      </w:r>
    </w:p>
    <w:p w:rsidR="000F3003" w:rsidRDefault="000F3003">
      <w:pPr>
        <w:spacing w:line="360" w:lineRule="auto"/>
        <w:ind w:firstLine="709"/>
        <w:jc w:val="both"/>
        <w:rPr>
          <w:rFonts w:ascii="PT Astra Serif" w:hAnsi="PT Astra Serif"/>
          <w:b/>
          <w:bCs/>
          <w:sz w:val="27"/>
          <w:szCs w:val="27"/>
        </w:rPr>
      </w:pPr>
    </w:p>
    <w:p w:rsidR="000F3003" w:rsidRDefault="008B20D2">
      <w:pPr>
        <w:spacing w:line="360" w:lineRule="auto"/>
        <w:ind w:firstLine="709"/>
        <w:jc w:val="both"/>
        <w:rPr>
          <w:rFonts w:ascii="PT Astra Serif" w:hAnsi="PT Astra Serif"/>
          <w:bCs/>
          <w:sz w:val="27"/>
          <w:szCs w:val="27"/>
        </w:rPr>
      </w:pPr>
      <w:r>
        <w:rPr>
          <w:rFonts w:ascii="PT Astra Serif" w:hAnsi="PT Astra Serif"/>
          <w:bCs/>
          <w:sz w:val="27"/>
          <w:szCs w:val="27"/>
        </w:rPr>
        <w:t>Настоящий Закон вступает в силу с 1 января 2026 года.</w:t>
      </w:r>
    </w:p>
    <w:p w:rsidR="000F3003" w:rsidRDefault="000F3003">
      <w:pPr>
        <w:spacing w:line="360" w:lineRule="auto"/>
        <w:ind w:firstLine="709"/>
        <w:jc w:val="both"/>
        <w:rPr>
          <w:rFonts w:ascii="PT Astra Serif" w:hAnsi="PT Astra Serif"/>
          <w:sz w:val="27"/>
          <w:szCs w:val="27"/>
        </w:rPr>
      </w:pPr>
    </w:p>
    <w:p w:rsidR="000F3003" w:rsidRDefault="008B20D2">
      <w:pPr>
        <w:spacing w:line="360" w:lineRule="auto"/>
        <w:jc w:val="both"/>
        <w:rPr>
          <w:rFonts w:ascii="PT Astra Serif" w:hAnsi="PT Astra Serif"/>
          <w:sz w:val="27"/>
          <w:szCs w:val="27"/>
        </w:rPr>
      </w:pPr>
      <w:r>
        <w:rPr>
          <w:rFonts w:ascii="PT Astra Serif" w:hAnsi="PT Astra Serif"/>
          <w:sz w:val="27"/>
          <w:szCs w:val="27"/>
        </w:rPr>
        <w:t xml:space="preserve">Губернатор Томской области </w:t>
      </w:r>
      <w:r>
        <w:rPr>
          <w:rFonts w:ascii="PT Astra Serif" w:hAnsi="PT Astra Serif"/>
          <w:sz w:val="27"/>
          <w:szCs w:val="27"/>
        </w:rPr>
        <w:tab/>
      </w:r>
      <w:r>
        <w:rPr>
          <w:rFonts w:ascii="PT Astra Serif" w:hAnsi="PT Astra Serif"/>
          <w:sz w:val="27"/>
          <w:szCs w:val="27"/>
        </w:rPr>
        <w:tab/>
      </w:r>
      <w:r>
        <w:rPr>
          <w:rFonts w:ascii="PT Astra Serif" w:hAnsi="PT Astra Serif"/>
          <w:sz w:val="27"/>
          <w:szCs w:val="27"/>
        </w:rPr>
        <w:tab/>
      </w:r>
      <w:r>
        <w:rPr>
          <w:rFonts w:ascii="PT Astra Serif" w:hAnsi="PT Astra Serif"/>
          <w:sz w:val="27"/>
          <w:szCs w:val="27"/>
        </w:rPr>
        <w:tab/>
      </w:r>
      <w:r>
        <w:rPr>
          <w:rFonts w:ascii="PT Astra Serif" w:hAnsi="PT Astra Serif"/>
          <w:sz w:val="27"/>
          <w:szCs w:val="27"/>
        </w:rPr>
        <w:tab/>
        <w:t xml:space="preserve">                                 </w:t>
      </w:r>
      <w:proofErr w:type="spellStart"/>
      <w:r>
        <w:rPr>
          <w:rFonts w:ascii="PT Astra Serif" w:hAnsi="PT Astra Serif"/>
          <w:sz w:val="27"/>
          <w:szCs w:val="27"/>
        </w:rPr>
        <w:t>В.В.Мазур</w:t>
      </w:r>
      <w:proofErr w:type="spellEnd"/>
    </w:p>
    <w:sectPr w:rsidR="000F3003" w:rsidSect="00811FC3">
      <w:headerReference w:type="default" r:id="rId33"/>
      <w:footerReference w:type="even" r:id="rId34"/>
      <w:footerReference w:type="default" r:id="rId35"/>
      <w:headerReference w:type="first" r:id="rId36"/>
      <w:pgSz w:w="11906" w:h="16838"/>
      <w:pgMar w:top="1134" w:right="567" w:bottom="1134" w:left="1134"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003" w:rsidRDefault="008B20D2">
      <w:r>
        <w:separator/>
      </w:r>
    </w:p>
  </w:endnote>
  <w:endnote w:type="continuationSeparator" w:id="0">
    <w:p w:rsidR="000F3003" w:rsidRDefault="008B2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03" w:rsidRDefault="008B20D2">
    <w:pPr>
      <w:pStyle w:val="14"/>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rPr>
      <w:t>12</w:t>
    </w:r>
    <w:r>
      <w:rPr>
        <w:rStyle w:val="af3"/>
      </w:rPr>
      <w:fldChar w:fldCharType="end"/>
    </w:r>
  </w:p>
  <w:p w:rsidR="000F3003" w:rsidRDefault="000F300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03" w:rsidRDefault="000F3003">
    <w:pPr>
      <w:pStyle w:val="14"/>
    </w:pPr>
  </w:p>
  <w:p w:rsidR="000F3003" w:rsidRDefault="000F3003">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003" w:rsidRDefault="008B20D2">
      <w:r>
        <w:separator/>
      </w:r>
    </w:p>
  </w:footnote>
  <w:footnote w:type="continuationSeparator" w:id="0">
    <w:p w:rsidR="000F3003" w:rsidRDefault="008B20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2359368"/>
      <w:docPartObj>
        <w:docPartGallery w:val="Page Numbers (Top of Page)"/>
        <w:docPartUnique/>
      </w:docPartObj>
    </w:sdtPr>
    <w:sdtEndPr/>
    <w:sdtContent>
      <w:p w:rsidR="000F3003" w:rsidRDefault="008B20D2">
        <w:pPr>
          <w:pStyle w:val="afb"/>
          <w:jc w:val="center"/>
          <w:rPr>
            <w:rFonts w:ascii="PT Astra Serif" w:hAnsi="PT Astra Serif"/>
          </w:rPr>
        </w:pPr>
        <w:r>
          <w:rPr>
            <w:rFonts w:ascii="PT Astra Serif" w:hAnsi="PT Astra Serif"/>
          </w:rPr>
          <w:fldChar w:fldCharType="begin"/>
        </w:r>
        <w:r>
          <w:rPr>
            <w:rFonts w:ascii="PT Astra Serif" w:hAnsi="PT Astra Serif"/>
          </w:rPr>
          <w:instrText>PAGE   \* MERGEFORMAT</w:instrText>
        </w:r>
        <w:r>
          <w:rPr>
            <w:rFonts w:ascii="PT Astra Serif" w:hAnsi="PT Astra Serif"/>
          </w:rPr>
          <w:fldChar w:fldCharType="separate"/>
        </w:r>
        <w:r w:rsidR="00811FC3">
          <w:rPr>
            <w:rFonts w:ascii="PT Astra Serif" w:hAnsi="PT Astra Serif"/>
            <w:noProof/>
          </w:rPr>
          <w:t>23</w:t>
        </w:r>
        <w:r>
          <w:rPr>
            <w:rFonts w:ascii="PT Astra Serif" w:hAnsi="PT Astra Seri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03" w:rsidRDefault="000F3003">
    <w:pPr>
      <w:pStyle w:val="af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0207A"/>
    <w:multiLevelType w:val="hybridMultilevel"/>
    <w:tmpl w:val="3B188F00"/>
    <w:lvl w:ilvl="0" w:tplc="6B6EE6AA">
      <w:start w:val="1"/>
      <w:numFmt w:val="decimal"/>
      <w:lvlText w:val="%1)"/>
      <w:lvlJc w:val="left"/>
      <w:pPr>
        <w:ind w:left="1069" w:hanging="360"/>
      </w:pPr>
      <w:rPr>
        <w:rFonts w:hint="default"/>
      </w:rPr>
    </w:lvl>
    <w:lvl w:ilvl="1" w:tplc="97F079E2">
      <w:start w:val="1"/>
      <w:numFmt w:val="lowerLetter"/>
      <w:lvlText w:val="%2."/>
      <w:lvlJc w:val="left"/>
      <w:pPr>
        <w:ind w:left="1789" w:hanging="360"/>
      </w:pPr>
    </w:lvl>
    <w:lvl w:ilvl="2" w:tplc="5C30221C">
      <w:start w:val="1"/>
      <w:numFmt w:val="lowerRoman"/>
      <w:lvlText w:val="%3."/>
      <w:lvlJc w:val="right"/>
      <w:pPr>
        <w:ind w:left="2509" w:hanging="180"/>
      </w:pPr>
    </w:lvl>
    <w:lvl w:ilvl="3" w:tplc="D1786682">
      <w:start w:val="1"/>
      <w:numFmt w:val="decimal"/>
      <w:lvlText w:val="%4."/>
      <w:lvlJc w:val="left"/>
      <w:pPr>
        <w:ind w:left="3229" w:hanging="360"/>
      </w:pPr>
    </w:lvl>
    <w:lvl w:ilvl="4" w:tplc="EA66D150">
      <w:start w:val="1"/>
      <w:numFmt w:val="lowerLetter"/>
      <w:lvlText w:val="%5."/>
      <w:lvlJc w:val="left"/>
      <w:pPr>
        <w:ind w:left="3949" w:hanging="360"/>
      </w:pPr>
    </w:lvl>
    <w:lvl w:ilvl="5" w:tplc="A822BD70">
      <w:start w:val="1"/>
      <w:numFmt w:val="lowerRoman"/>
      <w:lvlText w:val="%6."/>
      <w:lvlJc w:val="right"/>
      <w:pPr>
        <w:ind w:left="4669" w:hanging="180"/>
      </w:pPr>
    </w:lvl>
    <w:lvl w:ilvl="6" w:tplc="FA261EC6">
      <w:start w:val="1"/>
      <w:numFmt w:val="decimal"/>
      <w:lvlText w:val="%7."/>
      <w:lvlJc w:val="left"/>
      <w:pPr>
        <w:ind w:left="5389" w:hanging="360"/>
      </w:pPr>
    </w:lvl>
    <w:lvl w:ilvl="7" w:tplc="F9FA97F6">
      <w:start w:val="1"/>
      <w:numFmt w:val="lowerLetter"/>
      <w:lvlText w:val="%8."/>
      <w:lvlJc w:val="left"/>
      <w:pPr>
        <w:ind w:left="6109" w:hanging="360"/>
      </w:pPr>
    </w:lvl>
    <w:lvl w:ilvl="8" w:tplc="482E7538">
      <w:start w:val="1"/>
      <w:numFmt w:val="lowerRoman"/>
      <w:lvlText w:val="%9."/>
      <w:lvlJc w:val="right"/>
      <w:pPr>
        <w:ind w:left="6829" w:hanging="180"/>
      </w:pPr>
    </w:lvl>
  </w:abstractNum>
  <w:abstractNum w:abstractNumId="1">
    <w:nsid w:val="118433CC"/>
    <w:multiLevelType w:val="hybridMultilevel"/>
    <w:tmpl w:val="B8BEFADA"/>
    <w:lvl w:ilvl="0" w:tplc="12525AF2">
      <w:start w:val="1"/>
      <w:numFmt w:val="decimal"/>
      <w:lvlText w:val="%1)"/>
      <w:lvlJc w:val="left"/>
      <w:pPr>
        <w:ind w:left="1069" w:hanging="360"/>
      </w:pPr>
      <w:rPr>
        <w:rFonts w:hint="default"/>
      </w:rPr>
    </w:lvl>
    <w:lvl w:ilvl="1" w:tplc="6FC8EC28">
      <w:start w:val="1"/>
      <w:numFmt w:val="lowerLetter"/>
      <w:lvlText w:val="%2."/>
      <w:lvlJc w:val="left"/>
      <w:pPr>
        <w:ind w:left="1789" w:hanging="360"/>
      </w:pPr>
    </w:lvl>
    <w:lvl w:ilvl="2" w:tplc="42064C1C">
      <w:start w:val="1"/>
      <w:numFmt w:val="lowerRoman"/>
      <w:lvlText w:val="%3."/>
      <w:lvlJc w:val="right"/>
      <w:pPr>
        <w:ind w:left="2509" w:hanging="180"/>
      </w:pPr>
    </w:lvl>
    <w:lvl w:ilvl="3" w:tplc="4612A544">
      <w:start w:val="1"/>
      <w:numFmt w:val="decimal"/>
      <w:lvlText w:val="%4."/>
      <w:lvlJc w:val="left"/>
      <w:pPr>
        <w:ind w:left="3229" w:hanging="360"/>
      </w:pPr>
    </w:lvl>
    <w:lvl w:ilvl="4" w:tplc="AEFEC7E8">
      <w:start w:val="1"/>
      <w:numFmt w:val="lowerLetter"/>
      <w:lvlText w:val="%5."/>
      <w:lvlJc w:val="left"/>
      <w:pPr>
        <w:ind w:left="3949" w:hanging="360"/>
      </w:pPr>
    </w:lvl>
    <w:lvl w:ilvl="5" w:tplc="9FFAC84E">
      <w:start w:val="1"/>
      <w:numFmt w:val="lowerRoman"/>
      <w:lvlText w:val="%6."/>
      <w:lvlJc w:val="right"/>
      <w:pPr>
        <w:ind w:left="4669" w:hanging="180"/>
      </w:pPr>
    </w:lvl>
    <w:lvl w:ilvl="6" w:tplc="E36C63D0">
      <w:start w:val="1"/>
      <w:numFmt w:val="decimal"/>
      <w:lvlText w:val="%7."/>
      <w:lvlJc w:val="left"/>
      <w:pPr>
        <w:ind w:left="5389" w:hanging="360"/>
      </w:pPr>
    </w:lvl>
    <w:lvl w:ilvl="7" w:tplc="AA38BFB0">
      <w:start w:val="1"/>
      <w:numFmt w:val="lowerLetter"/>
      <w:lvlText w:val="%8."/>
      <w:lvlJc w:val="left"/>
      <w:pPr>
        <w:ind w:left="6109" w:hanging="360"/>
      </w:pPr>
    </w:lvl>
    <w:lvl w:ilvl="8" w:tplc="5642BD84">
      <w:start w:val="1"/>
      <w:numFmt w:val="lowerRoman"/>
      <w:lvlText w:val="%9."/>
      <w:lvlJc w:val="right"/>
      <w:pPr>
        <w:ind w:left="6829" w:hanging="180"/>
      </w:pPr>
    </w:lvl>
  </w:abstractNum>
  <w:abstractNum w:abstractNumId="2">
    <w:nsid w:val="2F4642BF"/>
    <w:multiLevelType w:val="hybridMultilevel"/>
    <w:tmpl w:val="A1D25F74"/>
    <w:lvl w:ilvl="0" w:tplc="745EA5F4">
      <w:start w:val="1"/>
      <w:numFmt w:val="decimal"/>
      <w:lvlText w:val="%1)"/>
      <w:lvlJc w:val="left"/>
      <w:pPr>
        <w:ind w:left="900" w:hanging="360"/>
      </w:pPr>
      <w:rPr>
        <w:rFonts w:cs="Times New Roman" w:hint="default"/>
      </w:rPr>
    </w:lvl>
    <w:lvl w:ilvl="1" w:tplc="2AD45C58">
      <w:start w:val="1"/>
      <w:numFmt w:val="lowerLetter"/>
      <w:lvlText w:val="%2."/>
      <w:lvlJc w:val="left"/>
      <w:pPr>
        <w:ind w:left="1620" w:hanging="360"/>
      </w:pPr>
      <w:rPr>
        <w:rFonts w:cs="Times New Roman"/>
      </w:rPr>
    </w:lvl>
    <w:lvl w:ilvl="2" w:tplc="33C2E1C2">
      <w:start w:val="1"/>
      <w:numFmt w:val="lowerRoman"/>
      <w:lvlText w:val="%3."/>
      <w:lvlJc w:val="right"/>
      <w:pPr>
        <w:ind w:left="2340" w:hanging="180"/>
      </w:pPr>
      <w:rPr>
        <w:rFonts w:cs="Times New Roman"/>
      </w:rPr>
    </w:lvl>
    <w:lvl w:ilvl="3" w:tplc="5A9C7D3C">
      <w:start w:val="1"/>
      <w:numFmt w:val="decimal"/>
      <w:lvlText w:val="%4."/>
      <w:lvlJc w:val="left"/>
      <w:pPr>
        <w:ind w:left="3060" w:hanging="360"/>
      </w:pPr>
      <w:rPr>
        <w:rFonts w:cs="Times New Roman"/>
      </w:rPr>
    </w:lvl>
    <w:lvl w:ilvl="4" w:tplc="F8F203D4">
      <w:start w:val="1"/>
      <w:numFmt w:val="lowerLetter"/>
      <w:lvlText w:val="%5."/>
      <w:lvlJc w:val="left"/>
      <w:pPr>
        <w:ind w:left="3780" w:hanging="360"/>
      </w:pPr>
      <w:rPr>
        <w:rFonts w:cs="Times New Roman"/>
      </w:rPr>
    </w:lvl>
    <w:lvl w:ilvl="5" w:tplc="5EE2A0BA">
      <w:start w:val="1"/>
      <w:numFmt w:val="lowerRoman"/>
      <w:lvlText w:val="%6."/>
      <w:lvlJc w:val="right"/>
      <w:pPr>
        <w:ind w:left="4500" w:hanging="180"/>
      </w:pPr>
      <w:rPr>
        <w:rFonts w:cs="Times New Roman"/>
      </w:rPr>
    </w:lvl>
    <w:lvl w:ilvl="6" w:tplc="7CC040CA">
      <w:start w:val="1"/>
      <w:numFmt w:val="decimal"/>
      <w:lvlText w:val="%7."/>
      <w:lvlJc w:val="left"/>
      <w:pPr>
        <w:ind w:left="5220" w:hanging="360"/>
      </w:pPr>
      <w:rPr>
        <w:rFonts w:cs="Times New Roman"/>
      </w:rPr>
    </w:lvl>
    <w:lvl w:ilvl="7" w:tplc="FCCE2E0E">
      <w:start w:val="1"/>
      <w:numFmt w:val="lowerLetter"/>
      <w:lvlText w:val="%8."/>
      <w:lvlJc w:val="left"/>
      <w:pPr>
        <w:ind w:left="5940" w:hanging="360"/>
      </w:pPr>
      <w:rPr>
        <w:rFonts w:cs="Times New Roman"/>
      </w:rPr>
    </w:lvl>
    <w:lvl w:ilvl="8" w:tplc="3FFC33E0">
      <w:start w:val="1"/>
      <w:numFmt w:val="lowerRoman"/>
      <w:lvlText w:val="%9."/>
      <w:lvlJc w:val="right"/>
      <w:pPr>
        <w:ind w:left="6660" w:hanging="180"/>
      </w:pPr>
      <w:rPr>
        <w:rFonts w:cs="Times New Roman"/>
      </w:rPr>
    </w:lvl>
  </w:abstractNum>
  <w:abstractNum w:abstractNumId="3">
    <w:nsid w:val="464D3D50"/>
    <w:multiLevelType w:val="hybridMultilevel"/>
    <w:tmpl w:val="E970F3A0"/>
    <w:lvl w:ilvl="0" w:tplc="D2B897F8">
      <w:start w:val="1"/>
      <w:numFmt w:val="decimal"/>
      <w:lvlText w:val="%1."/>
      <w:lvlJc w:val="left"/>
      <w:pPr>
        <w:ind w:left="1068" w:hanging="360"/>
      </w:pPr>
      <w:rPr>
        <w:b/>
      </w:rPr>
    </w:lvl>
    <w:lvl w:ilvl="1" w:tplc="AD760C3A">
      <w:start w:val="1"/>
      <w:numFmt w:val="decimal"/>
      <w:lvlText w:val="%2."/>
      <w:lvlJc w:val="left"/>
      <w:pPr>
        <w:tabs>
          <w:tab w:val="num" w:pos="1440"/>
        </w:tabs>
        <w:ind w:left="1440" w:hanging="360"/>
      </w:pPr>
    </w:lvl>
    <w:lvl w:ilvl="2" w:tplc="6EE483C0">
      <w:start w:val="1"/>
      <w:numFmt w:val="decimal"/>
      <w:lvlText w:val="%3."/>
      <w:lvlJc w:val="left"/>
      <w:pPr>
        <w:tabs>
          <w:tab w:val="num" w:pos="2160"/>
        </w:tabs>
        <w:ind w:left="2160" w:hanging="360"/>
      </w:pPr>
    </w:lvl>
    <w:lvl w:ilvl="3" w:tplc="D0F84ABE">
      <w:start w:val="1"/>
      <w:numFmt w:val="decimal"/>
      <w:lvlText w:val="%4."/>
      <w:lvlJc w:val="left"/>
      <w:pPr>
        <w:tabs>
          <w:tab w:val="num" w:pos="2880"/>
        </w:tabs>
        <w:ind w:left="2880" w:hanging="360"/>
      </w:pPr>
    </w:lvl>
    <w:lvl w:ilvl="4" w:tplc="CF6C18E2">
      <w:start w:val="1"/>
      <w:numFmt w:val="decimal"/>
      <w:lvlText w:val="%5."/>
      <w:lvlJc w:val="left"/>
      <w:pPr>
        <w:tabs>
          <w:tab w:val="num" w:pos="3600"/>
        </w:tabs>
        <w:ind w:left="3600" w:hanging="360"/>
      </w:pPr>
    </w:lvl>
    <w:lvl w:ilvl="5" w:tplc="19A41F6C">
      <w:start w:val="1"/>
      <w:numFmt w:val="decimal"/>
      <w:lvlText w:val="%6."/>
      <w:lvlJc w:val="left"/>
      <w:pPr>
        <w:tabs>
          <w:tab w:val="num" w:pos="4320"/>
        </w:tabs>
        <w:ind w:left="4320" w:hanging="360"/>
      </w:pPr>
    </w:lvl>
    <w:lvl w:ilvl="6" w:tplc="B8E49278">
      <w:start w:val="1"/>
      <w:numFmt w:val="decimal"/>
      <w:lvlText w:val="%7."/>
      <w:lvlJc w:val="left"/>
      <w:pPr>
        <w:tabs>
          <w:tab w:val="num" w:pos="5040"/>
        </w:tabs>
        <w:ind w:left="5040" w:hanging="360"/>
      </w:pPr>
    </w:lvl>
    <w:lvl w:ilvl="7" w:tplc="8F46FAF0">
      <w:start w:val="1"/>
      <w:numFmt w:val="decimal"/>
      <w:lvlText w:val="%8."/>
      <w:lvlJc w:val="left"/>
      <w:pPr>
        <w:tabs>
          <w:tab w:val="num" w:pos="5760"/>
        </w:tabs>
        <w:ind w:left="5760" w:hanging="360"/>
      </w:pPr>
    </w:lvl>
    <w:lvl w:ilvl="8" w:tplc="7D3013D6">
      <w:start w:val="1"/>
      <w:numFmt w:val="decimal"/>
      <w:lvlText w:val="%9."/>
      <w:lvlJc w:val="left"/>
      <w:pPr>
        <w:tabs>
          <w:tab w:val="num" w:pos="6480"/>
        </w:tabs>
        <w:ind w:left="6480" w:hanging="360"/>
      </w:pPr>
    </w:lvl>
  </w:abstractNum>
  <w:abstractNum w:abstractNumId="4">
    <w:nsid w:val="7A11301B"/>
    <w:multiLevelType w:val="hybridMultilevel"/>
    <w:tmpl w:val="5214455A"/>
    <w:lvl w:ilvl="0" w:tplc="FDCE94D2">
      <w:start w:val="3"/>
      <w:numFmt w:val="decimal"/>
      <w:lvlText w:val="%1)"/>
      <w:lvlJc w:val="left"/>
      <w:pPr>
        <w:ind w:left="1429" w:hanging="360"/>
      </w:pPr>
      <w:rPr>
        <w:rFonts w:hint="default"/>
      </w:rPr>
    </w:lvl>
    <w:lvl w:ilvl="1" w:tplc="BB86BBD0">
      <w:start w:val="1"/>
      <w:numFmt w:val="lowerLetter"/>
      <w:lvlText w:val="%2."/>
      <w:lvlJc w:val="left"/>
      <w:pPr>
        <w:ind w:left="2149" w:hanging="360"/>
      </w:pPr>
    </w:lvl>
    <w:lvl w:ilvl="2" w:tplc="CEE6CB28">
      <w:start w:val="1"/>
      <w:numFmt w:val="lowerRoman"/>
      <w:lvlText w:val="%3."/>
      <w:lvlJc w:val="right"/>
      <w:pPr>
        <w:ind w:left="2869" w:hanging="180"/>
      </w:pPr>
    </w:lvl>
    <w:lvl w:ilvl="3" w:tplc="49B63A2A">
      <w:start w:val="1"/>
      <w:numFmt w:val="decimal"/>
      <w:lvlText w:val="%4."/>
      <w:lvlJc w:val="left"/>
      <w:pPr>
        <w:ind w:left="3589" w:hanging="360"/>
      </w:pPr>
    </w:lvl>
    <w:lvl w:ilvl="4" w:tplc="D1E85E5C">
      <w:start w:val="1"/>
      <w:numFmt w:val="lowerLetter"/>
      <w:lvlText w:val="%5."/>
      <w:lvlJc w:val="left"/>
      <w:pPr>
        <w:ind w:left="4309" w:hanging="360"/>
      </w:pPr>
    </w:lvl>
    <w:lvl w:ilvl="5" w:tplc="681A217E">
      <w:start w:val="1"/>
      <w:numFmt w:val="lowerRoman"/>
      <w:lvlText w:val="%6."/>
      <w:lvlJc w:val="right"/>
      <w:pPr>
        <w:ind w:left="5029" w:hanging="180"/>
      </w:pPr>
    </w:lvl>
    <w:lvl w:ilvl="6" w:tplc="2AEAA20E">
      <w:start w:val="1"/>
      <w:numFmt w:val="decimal"/>
      <w:lvlText w:val="%7."/>
      <w:lvlJc w:val="left"/>
      <w:pPr>
        <w:ind w:left="5749" w:hanging="360"/>
      </w:pPr>
    </w:lvl>
    <w:lvl w:ilvl="7" w:tplc="642C4CE2">
      <w:start w:val="1"/>
      <w:numFmt w:val="lowerLetter"/>
      <w:lvlText w:val="%8."/>
      <w:lvlJc w:val="left"/>
      <w:pPr>
        <w:ind w:left="6469" w:hanging="360"/>
      </w:pPr>
    </w:lvl>
    <w:lvl w:ilvl="8" w:tplc="F420025C">
      <w:start w:val="1"/>
      <w:numFmt w:val="lowerRoman"/>
      <w:lvlText w:val="%9."/>
      <w:lvlJc w:val="right"/>
      <w:pPr>
        <w:ind w:left="7189"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5"/>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003"/>
    <w:rsid w:val="000F3003"/>
    <w:rsid w:val="00811FC3"/>
    <w:rsid w:val="008B2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character" w:customStyle="1" w:styleId="EndnoteTextChar">
    <w:name w:val="Endnote Text Char"/>
    <w:uiPriority w:val="99"/>
    <w:rPr>
      <w:sz w:val="20"/>
    </w:rPr>
  </w:style>
  <w:style w:type="paragraph" w:customStyle="1" w:styleId="11">
    <w:name w:val="Заголовок 11"/>
    <w:basedOn w:val="a"/>
    <w:next w:val="a"/>
    <w:link w:val="Heading1Char"/>
    <w:uiPriority w:val="9"/>
    <w:qFormat/>
    <w:pPr>
      <w:keepNext/>
      <w:keepLines/>
      <w:spacing w:before="480" w:after="200"/>
      <w:outlineLvl w:val="0"/>
    </w:pPr>
    <w:rPr>
      <w:rFonts w:ascii="Arial" w:eastAsia="Arial" w:hAnsi="Arial" w:cs="Arial"/>
      <w:sz w:val="40"/>
      <w:szCs w:val="40"/>
    </w:rPr>
  </w:style>
  <w:style w:type="character" w:customStyle="1" w:styleId="Heading1Char">
    <w:name w:val="Heading 1 Char"/>
    <w:basedOn w:val="a0"/>
    <w:link w:val="11"/>
    <w:uiPriority w:val="9"/>
    <w:rPr>
      <w:rFonts w:ascii="Arial" w:eastAsia="Arial" w:hAnsi="Arial" w:cs="Arial"/>
      <w:sz w:val="40"/>
      <w:szCs w:val="40"/>
    </w:rPr>
  </w:style>
  <w:style w:type="paragraph" w:customStyle="1" w:styleId="21">
    <w:name w:val="Заголовок 21"/>
    <w:basedOn w:val="a"/>
    <w:next w:val="a"/>
    <w:link w:val="Heading2Char"/>
    <w:uiPriority w:val="9"/>
    <w:unhideWhenUsed/>
    <w:qFormat/>
    <w:pPr>
      <w:keepNext/>
      <w:keepLines/>
      <w:spacing w:before="360" w:after="200"/>
      <w:outlineLvl w:val="1"/>
    </w:pPr>
    <w:rPr>
      <w:rFonts w:ascii="Arial" w:eastAsia="Arial" w:hAnsi="Arial" w:cs="Arial"/>
      <w:sz w:val="34"/>
    </w:rPr>
  </w:style>
  <w:style w:type="character" w:customStyle="1" w:styleId="Heading2Char">
    <w:name w:val="Heading 2 Char"/>
    <w:basedOn w:val="a0"/>
    <w:link w:val="21"/>
    <w:uiPriority w:val="9"/>
    <w:rPr>
      <w:rFonts w:ascii="Arial" w:eastAsia="Arial" w:hAnsi="Arial" w:cs="Arial"/>
      <w:sz w:val="34"/>
    </w:rPr>
  </w:style>
  <w:style w:type="paragraph" w:customStyle="1" w:styleId="31">
    <w:name w:val="Заголовок 31"/>
    <w:basedOn w:val="a"/>
    <w:next w:val="a"/>
    <w:link w:val="Heading3Char"/>
    <w:uiPriority w:val="9"/>
    <w:unhideWhenUsed/>
    <w:qFormat/>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31"/>
    <w:uiPriority w:val="9"/>
    <w:rPr>
      <w:rFonts w:ascii="Arial" w:eastAsia="Arial" w:hAnsi="Arial" w:cs="Arial"/>
      <w:sz w:val="30"/>
      <w:szCs w:val="30"/>
    </w:rPr>
  </w:style>
  <w:style w:type="paragraph" w:customStyle="1" w:styleId="41">
    <w:name w:val="Заголовок 41"/>
    <w:basedOn w:val="a"/>
    <w:next w:val="a"/>
    <w:link w:val="Heading4Char"/>
    <w:uiPriority w:val="9"/>
    <w:unhideWhenUsed/>
    <w:qFormat/>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41"/>
    <w:uiPriority w:val="9"/>
    <w:rPr>
      <w:rFonts w:ascii="Arial" w:eastAsia="Arial" w:hAnsi="Arial" w:cs="Arial"/>
      <w:b/>
      <w:bCs/>
      <w:sz w:val="26"/>
      <w:szCs w:val="26"/>
    </w:rPr>
  </w:style>
  <w:style w:type="paragraph" w:customStyle="1" w:styleId="51">
    <w:name w:val="Заголовок 51"/>
    <w:basedOn w:val="a"/>
    <w:next w:val="a"/>
    <w:link w:val="Heading5Char"/>
    <w:uiPriority w:val="9"/>
    <w:unhideWhenUsed/>
    <w:qFormat/>
    <w:pPr>
      <w:keepNext/>
      <w:keepLines/>
      <w:spacing w:before="320" w:after="200"/>
      <w:outlineLvl w:val="4"/>
    </w:pPr>
    <w:rPr>
      <w:rFonts w:ascii="Arial" w:eastAsia="Arial" w:hAnsi="Arial" w:cs="Arial"/>
      <w:b/>
      <w:bCs/>
    </w:rPr>
  </w:style>
  <w:style w:type="character" w:customStyle="1" w:styleId="Heading5Char">
    <w:name w:val="Heading 5 Char"/>
    <w:basedOn w:val="a0"/>
    <w:link w:val="51"/>
    <w:uiPriority w:val="9"/>
    <w:rPr>
      <w:rFonts w:ascii="Arial" w:eastAsia="Arial" w:hAnsi="Arial" w:cs="Arial"/>
      <w:b/>
      <w:bCs/>
      <w:sz w:val="24"/>
      <w:szCs w:val="24"/>
    </w:rPr>
  </w:style>
  <w:style w:type="paragraph" w:customStyle="1" w:styleId="61">
    <w:name w:val="Заголовок 61"/>
    <w:basedOn w:val="a"/>
    <w:next w:val="a"/>
    <w:link w:val="Heading6Char"/>
    <w:uiPriority w:val="9"/>
    <w:unhideWhenUsed/>
    <w:qFormat/>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a0"/>
    <w:link w:val="61"/>
    <w:uiPriority w:val="9"/>
    <w:rPr>
      <w:rFonts w:ascii="Arial" w:eastAsia="Arial" w:hAnsi="Arial" w:cs="Arial"/>
      <w:b/>
      <w:bCs/>
      <w:sz w:val="22"/>
      <w:szCs w:val="22"/>
    </w:rPr>
  </w:style>
  <w:style w:type="paragraph" w:customStyle="1" w:styleId="71">
    <w:name w:val="Заголовок 71"/>
    <w:basedOn w:val="a"/>
    <w:next w:val="a"/>
    <w:link w:val="Heading7Char"/>
    <w:uiPriority w:val="9"/>
    <w:unhideWhenUsed/>
    <w:qFormat/>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a0"/>
    <w:link w:val="71"/>
    <w:uiPriority w:val="9"/>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a0"/>
    <w:link w:val="81"/>
    <w:uiPriority w:val="9"/>
    <w:rPr>
      <w:rFonts w:ascii="Arial" w:eastAsia="Arial" w:hAnsi="Arial" w:cs="Arial"/>
      <w:i/>
      <w:iCs/>
      <w:sz w:val="22"/>
      <w:szCs w:val="22"/>
    </w:rPr>
  </w:style>
  <w:style w:type="paragraph" w:customStyle="1" w:styleId="91">
    <w:name w:val="Заголовок 91"/>
    <w:basedOn w:val="a"/>
    <w:next w:val="a"/>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Pr>
      <w:rFonts w:ascii="Arial" w:eastAsia="Arial" w:hAnsi="Arial" w:cs="Arial"/>
      <w:i/>
      <w:iCs/>
      <w:sz w:val="21"/>
      <w:szCs w:val="21"/>
    </w:rPr>
  </w:style>
  <w:style w:type="paragraph" w:styleId="a4">
    <w:name w:val="No Spacing"/>
    <w:uiPriority w:val="1"/>
    <w:qFormat/>
  </w:style>
  <w:style w:type="character" w:customStyle="1" w:styleId="TitleChar">
    <w:name w:val="Title Char"/>
    <w:basedOn w:val="a0"/>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0">
    <w:name w:val="Quote"/>
    <w:basedOn w:val="a"/>
    <w:next w:val="a"/>
    <w:link w:val="22"/>
    <w:uiPriority w:val="29"/>
    <w:qFormat/>
    <w:pPr>
      <w:ind w:left="720" w:right="720"/>
    </w:pPr>
    <w:rPr>
      <w:i/>
    </w:rPr>
  </w:style>
  <w:style w:type="character" w:customStyle="1" w:styleId="22">
    <w:name w:val="Цитата 2 Знак"/>
    <w:link w:val="20"/>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customStyle="1" w:styleId="10">
    <w:name w:val="Название объекта1"/>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9">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a">
    <w:name w:val="endnote text"/>
    <w:basedOn w:val="a"/>
    <w:link w:val="ab"/>
    <w:uiPriority w:val="99"/>
    <w:semiHidden/>
    <w:unhideWhenUsed/>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0">
    <w:name w:val="toc 3"/>
    <w:basedOn w:val="a"/>
    <w:next w:val="a"/>
    <w:uiPriority w:val="39"/>
    <w:unhideWhenUsed/>
    <w:pPr>
      <w:spacing w:after="57"/>
      <w:ind w:left="567"/>
    </w:pPr>
  </w:style>
  <w:style w:type="paragraph" w:styleId="40">
    <w:name w:val="toc 4"/>
    <w:basedOn w:val="a"/>
    <w:next w:val="a"/>
    <w:uiPriority w:val="39"/>
    <w:unhideWhenUsed/>
    <w:pPr>
      <w:spacing w:after="57"/>
      <w:ind w:left="850"/>
    </w:pPr>
  </w:style>
  <w:style w:type="paragraph" w:styleId="50">
    <w:name w:val="toc 5"/>
    <w:basedOn w:val="a"/>
    <w:next w:val="a"/>
    <w:uiPriority w:val="39"/>
    <w:unhideWhenUsed/>
    <w:pPr>
      <w:spacing w:after="57"/>
      <w:ind w:left="1134"/>
    </w:pPr>
  </w:style>
  <w:style w:type="paragraph" w:styleId="60">
    <w:name w:val="toc 6"/>
    <w:basedOn w:val="a"/>
    <w:next w:val="a"/>
    <w:uiPriority w:val="39"/>
    <w:unhideWhenUsed/>
    <w:pPr>
      <w:spacing w:after="57"/>
      <w:ind w:left="1417"/>
    </w:pPr>
  </w:style>
  <w:style w:type="paragraph" w:styleId="70">
    <w:name w:val="toc 7"/>
    <w:basedOn w:val="a"/>
    <w:next w:val="a"/>
    <w:uiPriority w:val="39"/>
    <w:unhideWhenUsed/>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paragraph" w:customStyle="1" w:styleId="ConsPlusNormal">
    <w:name w:val="ConsPlusNormal"/>
    <w:uiPriority w:val="99"/>
    <w:rPr>
      <w:rFonts w:ascii="Arial" w:eastAsia="Times New Roman" w:hAnsi="Arial" w:cs="Arial"/>
      <w:sz w:val="20"/>
      <w:szCs w:val="20"/>
    </w:rPr>
  </w:style>
  <w:style w:type="paragraph" w:customStyle="1" w:styleId="13">
    <w:name w:val="Верхний колонтитул1"/>
    <w:basedOn w:val="a"/>
    <w:link w:val="af"/>
    <w:uiPriority w:val="99"/>
    <w:pPr>
      <w:tabs>
        <w:tab w:val="center" w:pos="4677"/>
        <w:tab w:val="right" w:pos="9355"/>
      </w:tabs>
    </w:pPr>
    <w:rPr>
      <w:color w:val="000000"/>
      <w:sz w:val="26"/>
      <w:szCs w:val="26"/>
    </w:rPr>
  </w:style>
  <w:style w:type="character" w:customStyle="1" w:styleId="af">
    <w:name w:val="Верхний колонтитул Знак"/>
    <w:basedOn w:val="a0"/>
    <w:link w:val="13"/>
    <w:uiPriority w:val="99"/>
    <w:rPr>
      <w:rFonts w:ascii="Times New Roman" w:hAnsi="Times New Roman" w:cs="Times New Roman"/>
      <w:color w:val="000000"/>
      <w:sz w:val="26"/>
      <w:szCs w:val="26"/>
      <w:lang w:eastAsia="ru-RU"/>
    </w:rPr>
  </w:style>
  <w:style w:type="paragraph" w:styleId="af0">
    <w:name w:val="Title"/>
    <w:basedOn w:val="a"/>
    <w:link w:val="af1"/>
    <w:uiPriority w:val="99"/>
    <w:qFormat/>
    <w:pPr>
      <w:jc w:val="center"/>
    </w:pPr>
    <w:rPr>
      <w:szCs w:val="20"/>
    </w:rPr>
  </w:style>
  <w:style w:type="character" w:customStyle="1" w:styleId="af1">
    <w:name w:val="Название Знак"/>
    <w:basedOn w:val="a0"/>
    <w:link w:val="af0"/>
    <w:uiPriority w:val="99"/>
    <w:rPr>
      <w:rFonts w:ascii="Times New Roman" w:hAnsi="Times New Roman" w:cs="Times New Roman"/>
      <w:sz w:val="20"/>
      <w:szCs w:val="20"/>
      <w:lang w:eastAsia="ru-RU"/>
    </w:rPr>
  </w:style>
  <w:style w:type="paragraph" w:customStyle="1" w:styleId="14">
    <w:name w:val="Нижний колонтитул1"/>
    <w:basedOn w:val="a"/>
    <w:link w:val="af2"/>
    <w:uiPriority w:val="99"/>
    <w:pPr>
      <w:tabs>
        <w:tab w:val="center" w:pos="4677"/>
        <w:tab w:val="right" w:pos="9355"/>
      </w:tabs>
    </w:pPr>
  </w:style>
  <w:style w:type="character" w:customStyle="1" w:styleId="af2">
    <w:name w:val="Нижний колонтитул Знак"/>
    <w:basedOn w:val="a0"/>
    <w:link w:val="14"/>
    <w:uiPriority w:val="99"/>
    <w:rPr>
      <w:rFonts w:ascii="Times New Roman" w:hAnsi="Times New Roman" w:cs="Times New Roman"/>
      <w:sz w:val="24"/>
      <w:szCs w:val="24"/>
      <w:lang w:eastAsia="ru-RU"/>
    </w:rPr>
  </w:style>
  <w:style w:type="character" w:styleId="af3">
    <w:name w:val="page number"/>
    <w:basedOn w:val="a0"/>
    <w:uiPriority w:val="99"/>
    <w:rPr>
      <w:rFonts w:cs="Times New Roman"/>
    </w:rPr>
  </w:style>
  <w:style w:type="paragraph" w:customStyle="1" w:styleId="24">
    <w:name w:val="Стиль2"/>
    <w:basedOn w:val="a"/>
    <w:link w:val="25"/>
    <w:uiPriority w:val="99"/>
    <w:pPr>
      <w:spacing w:line="264" w:lineRule="auto"/>
      <w:ind w:right="-342" w:firstLine="567"/>
      <w:jc w:val="center"/>
    </w:pPr>
    <w:rPr>
      <w:rFonts w:eastAsia="Calibri"/>
      <w:b/>
      <w:i/>
      <w:color w:val="0070C0"/>
      <w:sz w:val="28"/>
      <w:szCs w:val="20"/>
    </w:rPr>
  </w:style>
  <w:style w:type="character" w:customStyle="1" w:styleId="25">
    <w:name w:val="Стиль2 Знак"/>
    <w:link w:val="24"/>
    <w:uiPriority w:val="99"/>
    <w:rPr>
      <w:rFonts w:ascii="Times New Roman" w:hAnsi="Times New Roman"/>
      <w:b/>
      <w:i/>
      <w:color w:val="0070C0"/>
      <w:sz w:val="28"/>
      <w:lang w:eastAsia="ru-RU"/>
    </w:rPr>
  </w:style>
  <w:style w:type="paragraph" w:styleId="af4">
    <w:name w:val="Balloon Text"/>
    <w:basedOn w:val="a"/>
    <w:link w:val="af5"/>
    <w:uiPriority w:val="99"/>
    <w:semiHidden/>
    <w:rPr>
      <w:rFonts w:ascii="Tahoma" w:hAnsi="Tahoma" w:cs="Tahoma"/>
      <w:sz w:val="16"/>
      <w:szCs w:val="16"/>
    </w:rPr>
  </w:style>
  <w:style w:type="character" w:customStyle="1" w:styleId="af5">
    <w:name w:val="Текст выноски Знак"/>
    <w:basedOn w:val="a0"/>
    <w:link w:val="af4"/>
    <w:uiPriority w:val="99"/>
    <w:semiHidden/>
    <w:rPr>
      <w:rFonts w:ascii="Times New Roman" w:hAnsi="Times New Roman" w:cs="Times New Roman"/>
      <w:sz w:val="2"/>
    </w:rPr>
  </w:style>
  <w:style w:type="character" w:styleId="af6">
    <w:name w:val="Hyperlink"/>
    <w:basedOn w:val="a0"/>
    <w:uiPriority w:val="99"/>
    <w:rPr>
      <w:rFonts w:cs="Times New Roman"/>
      <w:color w:val="0000FF"/>
      <w:u w:val="single"/>
    </w:rPr>
  </w:style>
  <w:style w:type="paragraph" w:styleId="af7">
    <w:name w:val="footnote text"/>
    <w:basedOn w:val="a"/>
    <w:link w:val="af8"/>
    <w:uiPriority w:val="99"/>
    <w:semiHidden/>
    <w:rPr>
      <w:sz w:val="20"/>
      <w:szCs w:val="20"/>
    </w:rPr>
  </w:style>
  <w:style w:type="character" w:customStyle="1" w:styleId="af8">
    <w:name w:val="Текст сноски Знак"/>
    <w:basedOn w:val="a0"/>
    <w:link w:val="af7"/>
    <w:uiPriority w:val="99"/>
    <w:semiHidden/>
    <w:rPr>
      <w:rFonts w:ascii="Times New Roman" w:hAnsi="Times New Roman" w:cs="Times New Roman"/>
      <w:sz w:val="20"/>
      <w:szCs w:val="20"/>
    </w:rPr>
  </w:style>
  <w:style w:type="character" w:styleId="af9">
    <w:name w:val="footnote reference"/>
    <w:basedOn w:val="a0"/>
    <w:uiPriority w:val="99"/>
    <w:semiHidden/>
    <w:rPr>
      <w:rFonts w:cs="Times New Roman"/>
      <w:vertAlign w:val="superscript"/>
    </w:rPr>
  </w:style>
  <w:style w:type="paragraph" w:styleId="afa">
    <w:name w:val="List Paragraph"/>
    <w:basedOn w:val="a"/>
    <w:uiPriority w:val="34"/>
    <w:qFormat/>
    <w:pPr>
      <w:ind w:left="720"/>
      <w:contextualSpacing/>
    </w:pPr>
  </w:style>
  <w:style w:type="paragraph" w:styleId="afb">
    <w:name w:val="header"/>
    <w:basedOn w:val="a"/>
    <w:link w:val="15"/>
    <w:uiPriority w:val="99"/>
    <w:unhideWhenUsed/>
    <w:pPr>
      <w:tabs>
        <w:tab w:val="center" w:pos="4677"/>
        <w:tab w:val="right" w:pos="9355"/>
      </w:tabs>
    </w:pPr>
  </w:style>
  <w:style w:type="character" w:customStyle="1" w:styleId="15">
    <w:name w:val="Верхний колонтитул Знак1"/>
    <w:basedOn w:val="a0"/>
    <w:link w:val="afb"/>
    <w:uiPriority w:val="99"/>
    <w:rPr>
      <w:rFonts w:ascii="Times New Roman" w:eastAsia="Times New Roman" w:hAnsi="Times New Roman"/>
      <w:sz w:val="24"/>
      <w:szCs w:val="24"/>
    </w:rPr>
  </w:style>
  <w:style w:type="paragraph" w:styleId="afc">
    <w:name w:val="footer"/>
    <w:basedOn w:val="a"/>
    <w:link w:val="16"/>
    <w:uiPriority w:val="99"/>
    <w:unhideWhenUsed/>
    <w:pPr>
      <w:tabs>
        <w:tab w:val="center" w:pos="4677"/>
        <w:tab w:val="right" w:pos="9355"/>
      </w:tabs>
    </w:pPr>
  </w:style>
  <w:style w:type="character" w:customStyle="1" w:styleId="16">
    <w:name w:val="Нижний колонтитул Знак1"/>
    <w:basedOn w:val="a0"/>
    <w:link w:val="afc"/>
    <w:uiPriority w:val="9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2F429F31CDEEC55E5308ABCBA6D69AE31466B1AE366E97C4FACAF286E066C7C87011B2C7C51250FE30380632622488729745B827AF8BC668B9C92C235f9C" TargetMode="External"/><Relationship Id="rId18" Type="http://schemas.openxmlformats.org/officeDocument/2006/relationships/hyperlink" Target="consultantplus://offline/ref=D2F429F31CDEEC55E5308ABCBA6D69AE31466B1AE366E97C4FACAF286E066C7C87011B2C7C51250FE3038D602022488729745B827AF8BC668B9C92C235f9C" TargetMode="External"/><Relationship Id="rId26" Type="http://schemas.openxmlformats.org/officeDocument/2006/relationships/hyperlink" Target="consultantplus://offline/ref=D2F429F31CDEEC55E5308ABCBA6D69AE31466B1AE366E97C4FACAF286E066C7C87011B2C7C51250FE20287692922488729745B827AF8BC668B9C92C235f9C" TargetMode="External"/><Relationship Id="rId3" Type="http://schemas.openxmlformats.org/officeDocument/2006/relationships/styles" Target="styles.xml"/><Relationship Id="rId21" Type="http://schemas.openxmlformats.org/officeDocument/2006/relationships/hyperlink" Target="consultantplus://offline/ref=D2F429F31CDEEC55E5308ABCBA6D69AE31466B1AE366E97C4FACAF286E066C7C87011B2C7C51250FE20087692622488729745B827AF8BC668B9C92C235f9C"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D2F429F31CDEEC55E5308ABCBA6D69AE31466B1AE366E97C4FACAF286E066C7C87011B2C7C51250FE30381612022488729745B827AF8BC668B9C92C235f9C" TargetMode="External"/><Relationship Id="rId17" Type="http://schemas.openxmlformats.org/officeDocument/2006/relationships/hyperlink" Target="consultantplus://offline/ref=D2F429F31CDEEC55E5308ABCBA6D69AE31466B1AE366E97C4FACAF286E066C7C87011B2C7C51250FE30383652322488729745B827AF8BC668B9C92C235f9C" TargetMode="External"/><Relationship Id="rId25" Type="http://schemas.openxmlformats.org/officeDocument/2006/relationships/hyperlink" Target="consultantplus://offline/ref=D2F429F31CDEEC55E5308ABCBA6D69AE31466B1AE366E97C4EA3AF286E066C7C87011B2C6E517D03E20B9B6028371ED66F32f3C"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2F429F31CDEEC55E5308ABCBA6D69AE31466B1AE366E97C4FACAF286E066C7C87011B2C7C51250FE30380672622488729745B827AF8BC668B9C92C235f9C" TargetMode="External"/><Relationship Id="rId20" Type="http://schemas.openxmlformats.org/officeDocument/2006/relationships/hyperlink" Target="consultantplus://offline/ref=D2F429F31CDEEC55E5308ABCBA6D69AE31466B1AE366E97C4FACAF286E066C7C87011B2C7C51250FE3018D642222488729745B827AF8BC668B9C92C235f9C" TargetMode="External"/><Relationship Id="rId29" Type="http://schemas.openxmlformats.org/officeDocument/2006/relationships/hyperlink" Target="consultantplus://offline/ref=D2F429F31CDEEC55E53094B1AC0137AA344F3716E362E62C14F0A97F31566A29C7411D7C3D1C2C05B752C1352D2814C86D29488172E43BfE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2F429F31CDEEC55E5308ABCBA6D69AE31466B1AE366E97C4FACAF286E066C7C87011B2C7C51250FE30387672122488729745B827AF8BC668B9C92C235f9C" TargetMode="External"/><Relationship Id="rId24" Type="http://schemas.openxmlformats.org/officeDocument/2006/relationships/hyperlink" Target="consultantplus://offline/ref=D2F429F31CDEEC55E5308ABCBA6D69AE31466B1AE366E97C4FACAF286E066C7C87011B2C7C51250FE30B85642522488729745B827AF8BC668B9C92C235f9C" TargetMode="External"/><Relationship Id="rId32" Type="http://schemas.openxmlformats.org/officeDocument/2006/relationships/hyperlink" Target="consultantplus://offline/ref=D2F429F31CDEEC55E5308ABCBA6D69AE31466B1AE366E97C4FACAF286E066C7C87011B2C7C51250FE20084682422488729745B827AF8BC668B9C92C235f9C"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D2F429F31CDEEC55E5308ABCBA6D69AE31466B1AE366E97C4FACAF286E066C7C87011B2C7C51250FE30380662722488729745B827AF8BC668B9C92C235f9C" TargetMode="External"/><Relationship Id="rId23" Type="http://schemas.openxmlformats.org/officeDocument/2006/relationships/hyperlink" Target="consultantplus://offline/ref=D2F429F31CDEEC55E5308ABCBA6D69AE31466B1AE366E97C4FACAF286E066C7C87011B2C7C51250FE30781682722488729745B827AF8BC668B9C92C235f9C" TargetMode="External"/><Relationship Id="rId28" Type="http://schemas.openxmlformats.org/officeDocument/2006/relationships/hyperlink" Target="consultantplus://offline/ref=D2F429F31CDEEC55E53094B1AC0137AA344F3716E362E62C14F0A97F31566A29C7411D793C1C2C05B752C1352D2814C86D29488172E43BfEC" TargetMode="External"/><Relationship Id="rId36" Type="http://schemas.openxmlformats.org/officeDocument/2006/relationships/header" Target="header2.xml"/><Relationship Id="rId10" Type="http://schemas.openxmlformats.org/officeDocument/2006/relationships/hyperlink" Target="consultantplus://offline/ref=D2F429F31CDEEC55E5308ABCBA6D69AE31466B1AE366E97C4FACAF286E066C7C87011B2C7C51250FE30387642722488729745B827AF8BC668B9C92C235f9C" TargetMode="External"/><Relationship Id="rId19" Type="http://schemas.openxmlformats.org/officeDocument/2006/relationships/hyperlink" Target="consultantplus://offline/ref=D2F429F31CDEEC55E5308ABCBA6D69AE31466B1AE366E97C4FACAF286E066C7C87011B2C7C51250FE30285632122488729745B827AF8BC668B9C92C235f9C" TargetMode="External"/><Relationship Id="rId31" Type="http://schemas.openxmlformats.org/officeDocument/2006/relationships/hyperlink" Target="consultantplus://offline/ref=D2F429F31CDEEC55E5308ABCBA6D69AE31466B1AE366E97C4FACAF286E066C7C87011B2C7C51250FE3038C652722488729745B827AF8BC668B9C92C235f9C" TargetMode="External"/><Relationship Id="rId4" Type="http://schemas.microsoft.com/office/2007/relationships/stylesWithEffects" Target="stylesWithEffects.xml"/><Relationship Id="rId9" Type="http://schemas.openxmlformats.org/officeDocument/2006/relationships/hyperlink" Target="consultantplus://offline/ref=D2F429F31CDEEC55E5308ABCBA6D69AE31466B1AE366E97C4FACAF286E066C7C87011B2C7C51250FE30384662422488729745B827AF8BC668B9C92C235f9C" TargetMode="External"/><Relationship Id="rId14" Type="http://schemas.openxmlformats.org/officeDocument/2006/relationships/hyperlink" Target="consultantplus://offline/ref=D2F429F31CDEEC55E5308ABCBA6D69AE31466B1AE366E97C4FACAF286E066C7C87011B2C7C51250FE30380642622488729745B827AF8BC668B9C92C235f9C" TargetMode="External"/><Relationship Id="rId22" Type="http://schemas.openxmlformats.org/officeDocument/2006/relationships/hyperlink" Target="consultantplus://offline/ref=D2F429F31CDEEC55E5308ABCBA6D69AE31466B1AE366E97C4FACAF286E066C7C87011B2C7C51250FE30385602722488729745B827AF8BC668B9C92C235f9C" TargetMode="External"/><Relationship Id="rId27" Type="http://schemas.openxmlformats.org/officeDocument/2006/relationships/hyperlink" Target="consultantplus://offline/ref=D2F429F31CDEEC55E5308ABCBA6D69AE31466B1AE366E97C4FACAF286E066C7C87011B2C7C51250FE3038D682822488729745B827AF8BC668B9C92C235f9C" TargetMode="External"/><Relationship Id="rId30" Type="http://schemas.openxmlformats.org/officeDocument/2006/relationships/hyperlink" Target="consultantplus://offline/ref=D2F429F31CDEEC55E5308ABCBA6D69AE31466B1AE366E97C4FACAF286E066C7C87011B2C7C51250FE3038C652722488729745B827AF8BC668B9C92C235f9C"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49F9E0-94D6-447E-95B8-C006808EC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7318</Words>
  <Characters>41717</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FindepComputer</Company>
  <LinksUpToDate>false</LinksUpToDate>
  <CharactersWithSpaces>48938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dc:creator>
  <cp:lastModifiedBy>Ширина Светлана Николаевна (shsn)</cp:lastModifiedBy>
  <cp:revision>1296</cp:revision>
  <dcterms:created xsi:type="dcterms:W3CDTF">2023-08-28T06:42:00Z</dcterms:created>
  <dcterms:modified xsi:type="dcterms:W3CDTF">2025-09-24T07:02:00Z</dcterms:modified>
</cp:coreProperties>
</file>