
<file path=[Content_Types].xml><?xml version="1.0" encoding="utf-8"?>
<Types xmlns="http://schemas.openxmlformats.org/package/2006/content-types">
  <Default Extension="xlsx" ContentType="application/vnd.openxmlformats-officedocument.spreadsheetml.sheet"/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chart1.xml" ContentType="application/vnd.openxmlformats-officedocument.drawingml.chart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2"/>
        <w:jc w:val="center"/>
        <w:spacing w:after="0" w:line="240" w:lineRule="auto"/>
        <w:rPr>
          <w:rFonts w:ascii="PT Astra Serif" w:hAnsi="PT Astra Serif"/>
          <w:b/>
          <w:sz w:val="28"/>
          <w:szCs w:val="24"/>
          <w:u w:val="single"/>
        </w:rPr>
      </w:pPr>
      <w:r>
        <w:rPr>
          <w:rFonts w:ascii="PT Astra Serif" w:hAnsi="PT Astra Serif"/>
          <w:b/>
          <w:sz w:val="28"/>
          <w:szCs w:val="24"/>
          <w:u w:val="single"/>
        </w:rPr>
        <w:t xml:space="preserve">А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нализ обращений граждан по финансовым вопросам, поступивши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х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 в</w:t>
      </w:r>
      <w:r>
        <w:rPr>
          <w:rFonts w:ascii="PT Astra Serif" w:hAnsi="PT Astra Serif"/>
          <w:b/>
          <w:sz w:val="28"/>
          <w:szCs w:val="24"/>
          <w:u w:val="single"/>
        </w:rPr>
      </w:r>
      <w:r>
        <w:rPr>
          <w:rFonts w:ascii="PT Astra Serif" w:hAnsi="PT Astra Serif"/>
          <w:b/>
          <w:sz w:val="28"/>
          <w:szCs w:val="24"/>
          <w:u w:val="single"/>
        </w:rPr>
      </w:r>
    </w:p>
    <w:p>
      <w:pPr>
        <w:pStyle w:val="842"/>
        <w:jc w:val="center"/>
        <w:spacing w:after="0" w:line="240" w:lineRule="auto"/>
        <w:rPr>
          <w:rFonts w:ascii="PT Astra Serif" w:hAnsi="PT Astra Serif"/>
          <w:b/>
          <w:sz w:val="28"/>
          <w:szCs w:val="24"/>
          <w:u w:val="single"/>
        </w:rPr>
      </w:pPr>
      <w:r>
        <w:rPr>
          <w:rFonts w:ascii="PT Astra Serif" w:hAnsi="PT Astra Serif"/>
          <w:b/>
          <w:sz w:val="28"/>
          <w:szCs w:val="24"/>
          <w:u w:val="single"/>
        </w:rPr>
        <w:t xml:space="preserve">Департамент 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ф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инансов Томской области за I квартал 2025 года.</w:t>
      </w:r>
      <w:r>
        <w:rPr>
          <w:rFonts w:ascii="PT Astra Serif" w:hAnsi="PT Astra Serif"/>
          <w:b/>
          <w:sz w:val="28"/>
          <w:szCs w:val="24"/>
          <w:u w:val="single"/>
        </w:rPr>
      </w:r>
      <w:r>
        <w:rPr>
          <w:rFonts w:ascii="PT Astra Serif" w:hAnsi="PT Astra Serif"/>
          <w:b/>
          <w:sz w:val="28"/>
          <w:szCs w:val="24"/>
          <w:u w:val="single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color w:val="00b050"/>
          <w:sz w:val="24"/>
          <w:szCs w:val="24"/>
        </w:rPr>
      </w:pPr>
      <w:r>
        <w:rPr>
          <w:rFonts w:ascii="PT Astra Serif" w:hAnsi="PT Astra Serif"/>
          <w:color w:val="00b050"/>
          <w:sz w:val="24"/>
          <w:szCs w:val="24"/>
        </w:rPr>
      </w:r>
      <w:r>
        <w:rPr>
          <w:rFonts w:ascii="PT Astra Serif" w:hAnsi="PT Astra Serif"/>
          <w:color w:val="00b050"/>
          <w:sz w:val="24"/>
          <w:szCs w:val="24"/>
        </w:rPr>
      </w:r>
      <w:r>
        <w:rPr>
          <w:rFonts w:ascii="PT Astra Serif" w:hAnsi="PT Astra Serif"/>
          <w:color w:val="00b050"/>
          <w:sz w:val="24"/>
          <w:szCs w:val="24"/>
        </w:rPr>
      </w:r>
    </w:p>
    <w:p>
      <w:pPr>
        <w:pStyle w:val="846"/>
        <w:ind w:firstLine="709"/>
        <w:jc w:val="both"/>
        <w:spacing w:before="0" w:beforeAutospacing="0" w:after="0" w:afterAutospacing="0"/>
        <w:shd w:val="clear" w:color="auto" w:fill="ffffff"/>
        <w:rPr>
          <w:rFonts w:ascii="PT Astra Serif" w:hAnsi="PT Astra Serif" w:eastAsia="Calibri"/>
          <w:highlight w:val="white"/>
        </w:rPr>
      </w:pPr>
      <w:r>
        <w:rPr>
          <w:rFonts w:ascii="PT Astra Serif" w:hAnsi="PT Astra Serif" w:eastAsia="Calibri"/>
          <w:highlight w:val="white"/>
        </w:rPr>
        <w:t xml:space="preserve">В 1 квартале </w:t>
      </w:r>
      <w:r>
        <w:rPr>
          <w:rFonts w:ascii="PT Astra Serif" w:hAnsi="PT Astra Serif" w:eastAsia="Calibri"/>
          <w:highlight w:val="white"/>
        </w:rPr>
        <w:t xml:space="preserve">2025</w:t>
      </w:r>
      <w:r>
        <w:rPr>
          <w:rFonts w:ascii="PT Astra Serif" w:hAnsi="PT Astra Serif" w:eastAsia="Calibri"/>
          <w:highlight w:val="white"/>
        </w:rPr>
        <w:t xml:space="preserve"> год</w:t>
      </w:r>
      <w:r>
        <w:rPr>
          <w:rFonts w:ascii="PT Astra Serif" w:hAnsi="PT Astra Serif" w:eastAsia="Calibri"/>
          <w:highlight w:val="white"/>
        </w:rPr>
        <w:t xml:space="preserve">а </w:t>
      </w:r>
      <w:r>
        <w:rPr>
          <w:rFonts w:ascii="PT Astra Serif" w:hAnsi="PT Astra Serif" w:eastAsia="Calibri"/>
          <w:highlight w:val="white"/>
        </w:rPr>
        <w:t xml:space="preserve">в Департамент финанс</w:t>
      </w:r>
      <w:r>
        <w:rPr>
          <w:rFonts w:ascii="PT Astra Serif" w:hAnsi="PT Astra Serif" w:eastAsia="Calibri"/>
          <w:highlight w:val="white"/>
        </w:rPr>
        <w:t xml:space="preserve">ов Томской области </w:t>
      </w:r>
      <w:r>
        <w:rPr>
          <w:rFonts w:ascii="PT Astra Serif" w:hAnsi="PT Astra Serif" w:eastAsia="Calibri"/>
          <w:highlight w:val="white"/>
        </w:rPr>
        <w:t xml:space="preserve">(далее – Департамент) </w:t>
        <w:br/>
        <w:t xml:space="preserve">и Региональный центр финансовой грамотности Томской области (далее – РЦФГ) </w:t>
      </w:r>
      <w:r>
        <w:rPr>
          <w:rFonts w:ascii="PT Astra Serif" w:hAnsi="PT Astra Serif" w:eastAsia="Calibri"/>
          <w:highlight w:val="white"/>
        </w:rPr>
        <w:t xml:space="preserve">поступило 129</w:t>
      </w:r>
      <w:r>
        <w:rPr>
          <w:rFonts w:ascii="PT Astra Serif" w:hAnsi="PT Astra Serif" w:eastAsia="Calibri"/>
          <w:highlight w:val="white"/>
        </w:rPr>
        <w:t xml:space="preserve"> обращений </w:t>
      </w:r>
      <w:r>
        <w:rPr>
          <w:rFonts w:ascii="PT Astra Serif" w:hAnsi="PT Astra Serif" w:eastAsia="Calibri"/>
          <w:highlight w:val="white"/>
        </w:rPr>
        <w:t xml:space="preserve">граждан (далее – обращение) </w:t>
      </w:r>
      <w:r>
        <w:rPr>
          <w:rFonts w:ascii="PT Astra Serif" w:hAnsi="PT Astra Serif" w:eastAsia="Calibri"/>
          <w:highlight w:val="white"/>
        </w:rPr>
        <w:t xml:space="preserve"> из них</w:t>
      </w:r>
      <w:r>
        <w:rPr>
          <w:rFonts w:ascii="PT Astra Serif" w:hAnsi="PT Astra Serif" w:eastAsia="Calibri"/>
          <w:highlight w:val="white"/>
        </w:rPr>
        <w:t xml:space="preserve"> 82 обращения </w:t>
      </w:r>
      <w:r>
        <w:rPr>
          <w:rFonts w:ascii="PT Astra Serif" w:hAnsi="PT Astra Serif" w:eastAsia="Calibri"/>
          <w:highlight w:val="white"/>
        </w:rPr>
        <w:t xml:space="preserve">явля</w:t>
      </w:r>
      <w:r>
        <w:rPr>
          <w:rFonts w:ascii="PT Astra Serif" w:hAnsi="PT Astra Serif" w:eastAsia="Calibri"/>
          <w:highlight w:val="white"/>
        </w:rPr>
        <w:t xml:space="preserve">ю</w:t>
      </w:r>
      <w:r>
        <w:rPr>
          <w:rFonts w:ascii="PT Astra Serif" w:hAnsi="PT Astra Serif" w:eastAsia="Calibri"/>
          <w:highlight w:val="white"/>
        </w:rPr>
        <w:t xml:space="preserve">тся </w:t>
      </w:r>
      <w:r>
        <w:rPr>
          <w:rFonts w:ascii="PT Astra Serif" w:hAnsi="PT Astra Serif" w:eastAsia="Calibri"/>
          <w:highlight w:val="white"/>
        </w:rPr>
        <w:t xml:space="preserve">устн</w:t>
      </w:r>
      <w:r>
        <w:rPr>
          <w:rFonts w:ascii="PT Astra Serif" w:hAnsi="PT Astra Serif" w:eastAsia="Calibri"/>
          <w:highlight w:val="white"/>
        </w:rPr>
        <w:t xml:space="preserve">ыми, </w:t>
      </w:r>
      <w:r>
        <w:rPr>
          <w:rFonts w:ascii="PT Astra Serif" w:hAnsi="PT Astra Serif" w:eastAsia="Calibri"/>
          <w:highlight w:val="white"/>
        </w:rPr>
        <w:t xml:space="preserve">47 обращени</w:t>
      </w:r>
      <w:r>
        <w:rPr>
          <w:rFonts w:ascii="PT Astra Serif" w:hAnsi="PT Astra Serif" w:eastAsia="Calibri"/>
          <w:highlight w:val="white"/>
        </w:rPr>
        <w:t xml:space="preserve">й - </w:t>
      </w:r>
      <w:r>
        <w:rPr>
          <w:rFonts w:ascii="PT Astra Serif" w:hAnsi="PT Astra Serif" w:eastAsia="Calibri"/>
          <w:highlight w:val="white"/>
        </w:rPr>
        <w:t xml:space="preserve">письменными</w:t>
      </w:r>
      <w:r>
        <w:rPr>
          <w:rFonts w:ascii="PT Astra Serif" w:hAnsi="PT Astra Serif" w:eastAsia="Calibri"/>
          <w:highlight w:val="white"/>
        </w:rPr>
        <w:t xml:space="preserve">.</w:t>
      </w:r>
      <w:r>
        <w:rPr>
          <w:rFonts w:ascii="PT Astra Serif" w:hAnsi="PT Astra Serif" w:eastAsia="Calibri"/>
          <w:highlight w:val="white"/>
        </w:rPr>
      </w:r>
      <w:r>
        <w:rPr>
          <w:rFonts w:ascii="PT Astra Serif" w:hAnsi="PT Astra Serif" w:eastAsia="Calibri"/>
          <w:highlight w:val="white"/>
        </w:rPr>
      </w:r>
    </w:p>
    <w:p>
      <w:pPr>
        <w:pStyle w:val="846"/>
        <w:ind w:firstLine="709"/>
        <w:jc w:val="both"/>
        <w:spacing w:before="0" w:beforeAutospacing="0" w:after="0" w:afterAutospacing="0"/>
        <w:shd w:val="clear" w:color="auto" w:fill="ffffff"/>
        <w:rPr>
          <w:rFonts w:ascii="PT Astra Serif" w:hAnsi="PT Astra Serif" w:eastAsia="Calibri"/>
          <w:highlight w:val="none"/>
        </w:rPr>
      </w:pPr>
      <w:r>
        <w:rPr>
          <w:rFonts w:ascii="PT Astra Serif" w:hAnsi="PT Astra Serif" w:eastAsia="Calibri"/>
          <w:color w:val="ff0000"/>
          <w:highlight w:val="white"/>
        </w:rPr>
      </w:r>
      <w:r>
        <w:rPr>
          <w:rFonts w:ascii="PT Astra Serif" w:hAnsi="PT Astra Serif" w:eastAsia="Calibri"/>
          <w:highlight w:val="white"/>
        </w:rPr>
        <w:t xml:space="preserve">В Департамент было перенаправлено</w:t>
      </w:r>
      <w:r>
        <w:rPr>
          <w:rFonts w:ascii="PT Astra Serif" w:hAnsi="PT Astra Serif" w:eastAsia="Calibri"/>
          <w:highlight w:val="white"/>
        </w:rPr>
        <w:t xml:space="preserve"> 47 обращений</w:t>
      </w:r>
      <w:r>
        <w:rPr>
          <w:rFonts w:ascii="PT Astra Serif" w:hAnsi="PT Astra Serif" w:eastAsia="Calibri"/>
          <w:highlight w:val="white"/>
        </w:rPr>
        <w:t xml:space="preserve"> письменными: из Администрации Президента Российской Федерации</w:t>
      </w:r>
      <w:r>
        <w:rPr>
          <w:rFonts w:ascii="PT Astra Serif" w:hAnsi="PT Astra Serif" w:eastAsia="Calibri"/>
          <w:highlight w:val="white"/>
        </w:rPr>
        <w:t xml:space="preserve">, с Прямой линии Президента Российской Федерации, </w:t>
        <w:br/>
        <w:t xml:space="preserve">из Администрации Томской области.</w:t>
      </w:r>
      <w:r>
        <w:rPr>
          <w:rFonts w:ascii="PT Astra Serif" w:hAnsi="PT Astra Serif" w:eastAsia="Calibri"/>
          <w:highlight w:val="none"/>
        </w:rPr>
      </w:r>
      <w:r>
        <w:rPr>
          <w:rFonts w:ascii="PT Astra Serif" w:hAnsi="PT Astra Serif" w:eastAsia="Calibri"/>
          <w:highlight w:val="none"/>
        </w:rPr>
      </w:r>
    </w:p>
    <w:p>
      <w:pPr>
        <w:pStyle w:val="846"/>
        <w:ind w:left="0" w:right="0" w:firstLine="0"/>
        <w:jc w:val="both"/>
        <w:spacing w:before="0" w:beforeAutospacing="0" w:after="0" w:afterAutospacing="0"/>
        <w:shd w:val="clear" w:color="auto" w:fill="ffffff"/>
        <w:rPr>
          <w:rFonts w:ascii="PT Astra Serif" w:hAnsi="PT Astra Serif" w:eastAsia="Calibri"/>
          <w:highlight w:val="yellow"/>
        </w:rPr>
      </w:pPr>
      <w:r>
        <w:rPr>
          <w:rFonts w:ascii="PT Astra Serif" w:hAnsi="PT Astra Serif" w:eastAsia="Calibri"/>
          <w:highlight w:val="none"/>
        </w:rPr>
      </w:r>
      <w:r>
        <w:drawing>
          <wp:inline distT="0" distB="0" distL="0" distR="0">
            <wp:extent cx="5991882" cy="2263886"/>
            <wp:effectExtent l="1587" t="1587" r="1587" b="1587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>
        <w:rPr>
          <w:rFonts w:ascii="PT Astra Serif" w:hAnsi="PT Astra Serif" w:eastAsia="Calibri"/>
          <w:highlight w:val="yellow"/>
        </w:rPr>
      </w:r>
      <w:r>
        <w:rPr>
          <w:rFonts w:ascii="PT Astra Serif" w:hAnsi="PT Astra Serif" w:eastAsia="Calibri"/>
          <w:highlight w:val="yellow"/>
        </w:rPr>
      </w:r>
    </w:p>
    <w:p>
      <w:pPr>
        <w:pStyle w:val="846"/>
        <w:ind w:left="850" w:right="0" w:hanging="850"/>
        <w:jc w:val="both"/>
        <w:spacing w:before="0" w:beforeAutospacing="0" w:after="0" w:afterAutospacing="0"/>
        <w:shd w:val="clear" w:color="auto" w:fill="ffffff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  <w:r>
        <w:rPr>
          <w:rFonts w:ascii="PT Astra Serif" w:hAnsi="PT Astra Serif" w:eastAsia="Calibri"/>
        </w:rPr>
        <w:t xml:space="preserve"> </w:t>
      </w:r>
      <w:r>
        <w:rPr>
          <w:rFonts w:ascii="PT Astra Serif" w:hAnsi="PT Astra Serif" w:eastAsia="Calibri"/>
        </w:rPr>
        <w:t xml:space="preserve"> </w:t>
      </w:r>
      <w:r>
        <w:rPr>
          <w:rFonts w:ascii="PT Astra Serif" w:hAnsi="PT Astra Serif" w:eastAsia="Calibri"/>
        </w:rPr>
        <w:t xml:space="preserve"> </w:t>
      </w:r>
      <w:r>
        <w:rPr>
          <w:rFonts w:ascii="PT Astra Serif" w:hAnsi="PT Astra Serif" w:eastAsia="Calibri"/>
        </w:rPr>
        <w:t xml:space="preserve">       Анализ тематики письменных </w:t>
      </w:r>
      <w:r>
        <w:rPr>
          <w:rFonts w:ascii="PT Astra Serif" w:hAnsi="PT Astra Serif" w:eastAsia="Calibri"/>
        </w:rPr>
        <w:t xml:space="preserve">обращений </w:t>
      </w:r>
      <w:r>
        <w:rPr>
          <w:rFonts w:ascii="PT Astra Serif" w:hAnsi="PT Astra Serif" w:eastAsia="Calibri"/>
        </w:rPr>
        <w:t xml:space="preserve">выявил следующее</w:t>
      </w:r>
      <w:r>
        <w:rPr>
          <w:rFonts w:ascii="PT Astra Serif" w:hAnsi="PT Astra Serif" w:eastAsia="Calibri"/>
        </w:rPr>
        <w:t xml:space="preserve">:</w:t>
      </w:r>
      <w:r>
        <w:rPr>
          <w:color w:val="ff0000"/>
          <w:sz w:val="28"/>
          <w:szCs w:val="28"/>
        </w:rPr>
      </w:r>
      <w:r>
        <w:rPr>
          <w:color w:val="ff0000"/>
          <w:sz w:val="28"/>
          <w:szCs w:val="28"/>
        </w:rPr>
      </w:r>
    </w:p>
    <w:p>
      <w:pPr>
        <w:pStyle w:val="842"/>
        <w:jc w:val="both"/>
        <w:spacing w:after="0" w:line="240" w:lineRule="auto"/>
        <w:shd w:val="clear" w:color="auto" w:fill="ffffff"/>
        <w:tabs>
          <w:tab w:val="left" w:pos="993" w:leader="none"/>
        </w:tabs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b/>
          <w:sz w:val="24"/>
          <w:szCs w:val="24"/>
          <w:lang w:eastAsia="ru-RU"/>
        </w:rPr>
        <w:t xml:space="preserve">76,6%</w:t>
      </w:r>
      <w:r>
        <w:rPr>
          <w:rFonts w:ascii="PT Astra Serif" w:hAnsi="PT Astra Serif"/>
          <w:sz w:val="24"/>
          <w:szCs w:val="24"/>
          <w:lang w:eastAsia="ru-RU"/>
        </w:rPr>
        <w:t xml:space="preserve"> составили вопросы, относящиеся к сфере кредитования: оформление и погашение кредитов, условия ипотечных программ, высокая кредитная нагрузка, проблемная задолженность по кредитам, оформление банкротства, мошеннические действия;</w:t>
      </w:r>
      <w:r>
        <w:rPr>
          <w:rFonts w:ascii="PT Astra Serif" w:hAnsi="PT Astra Serif"/>
          <w:sz w:val="24"/>
          <w:szCs w:val="24"/>
          <w:lang w:eastAsia="ru-RU"/>
        </w:rPr>
      </w:r>
      <w:r>
        <w:rPr>
          <w:rFonts w:ascii="PT Astra Serif" w:hAnsi="PT Astra Serif"/>
          <w:sz w:val="24"/>
          <w:szCs w:val="24"/>
          <w:lang w:eastAsia="ru-RU"/>
        </w:rPr>
      </w:r>
    </w:p>
    <w:p>
      <w:pPr>
        <w:pStyle w:val="842"/>
        <w:jc w:val="both"/>
        <w:spacing w:after="0" w:line="240" w:lineRule="auto"/>
        <w:shd w:val="clear" w:color="auto" w:fill="ffffff"/>
        <w:tabs>
          <w:tab w:val="left" w:pos="993" w:leader="none"/>
        </w:tabs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b/>
          <w:sz w:val="24"/>
          <w:szCs w:val="24"/>
          <w:lang w:eastAsia="ru-RU"/>
        </w:rPr>
        <w:t xml:space="preserve">10,6%</w:t>
      </w:r>
      <w:r>
        <w:rPr>
          <w:rFonts w:ascii="PT Astra Serif" w:hAnsi="PT Astra Serif"/>
          <w:sz w:val="24"/>
          <w:szCs w:val="24"/>
          <w:lang w:eastAsia="ru-RU"/>
        </w:rPr>
        <w:t xml:space="preserve"> иные финансовые вопросы (страхование, банковские вклады, инвестиции и др.);</w:t>
      </w:r>
      <w:r>
        <w:rPr>
          <w:rFonts w:ascii="PT Astra Serif" w:hAnsi="PT Astra Serif"/>
          <w:sz w:val="24"/>
          <w:szCs w:val="24"/>
          <w:lang w:eastAsia="ru-RU"/>
        </w:rPr>
      </w:r>
      <w:r>
        <w:rPr>
          <w:rFonts w:ascii="PT Astra Serif" w:hAnsi="PT Astra Serif"/>
          <w:sz w:val="24"/>
          <w:szCs w:val="24"/>
          <w:lang w:eastAsia="ru-RU"/>
        </w:rPr>
      </w:r>
    </w:p>
    <w:p>
      <w:pPr>
        <w:pStyle w:val="846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rFonts w:ascii="PT Astra Serif" w:hAnsi="PT Astra Serif" w:eastAsia="Calibri"/>
        </w:rPr>
      </w:pPr>
      <w:r>
        <w:rPr>
          <w:rFonts w:ascii="PT Astra Serif" w:hAnsi="PT Astra Serif" w:eastAsia="Calibri"/>
          <w:b/>
        </w:rPr>
        <w:t xml:space="preserve">8,5% </w:t>
      </w:r>
      <w:r>
        <w:rPr>
          <w:rFonts w:ascii="PT Astra Serif" w:hAnsi="PT Astra Serif" w:eastAsia="Calibri"/>
        </w:rPr>
        <w:t xml:space="preserve">составили вопросы, касающиеся работы кредит</w:t>
      </w:r>
      <w:r>
        <w:rPr>
          <w:rFonts w:ascii="PT Astra Serif" w:hAnsi="PT Astra Serif" w:eastAsia="Calibri"/>
        </w:rPr>
        <w:t xml:space="preserve">но-потребительских кооперативов;</w:t>
      </w:r>
      <w:r>
        <w:rPr>
          <w:rFonts w:ascii="PT Astra Serif" w:hAnsi="PT Astra Serif" w:eastAsia="Calibri"/>
        </w:rPr>
      </w:r>
      <w:r>
        <w:rPr>
          <w:rFonts w:ascii="PT Astra Serif" w:hAnsi="PT Astra Serif" w:eastAsia="Calibri"/>
        </w:rPr>
      </w:r>
    </w:p>
    <w:p>
      <w:pPr>
        <w:pStyle w:val="846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rFonts w:ascii="PT Astra Serif" w:hAnsi="PT Astra Serif" w:eastAsia="Calibri"/>
        </w:rPr>
      </w:pPr>
      <w:r>
        <w:rPr>
          <w:rFonts w:ascii="PT Astra Serif" w:hAnsi="PT Astra Serif" w:eastAsia="Calibri"/>
          <w:b/>
        </w:rPr>
        <w:t xml:space="preserve">4,3%</w:t>
      </w:r>
      <w:r>
        <w:rPr>
          <w:rFonts w:ascii="PT Astra Serif" w:hAnsi="PT Astra Serif" w:eastAsia="Calibri"/>
        </w:rPr>
        <w:t xml:space="preserve"> </w:t>
      </w:r>
      <w:r>
        <w:rPr>
          <w:rFonts w:ascii="PT Astra Serif" w:hAnsi="PT Astra Serif" w:eastAsia="Calibri"/>
        </w:rPr>
        <w:t xml:space="preserve">обращени</w:t>
      </w:r>
      <w:r>
        <w:rPr>
          <w:rFonts w:ascii="PT Astra Serif" w:hAnsi="PT Astra Serif" w:eastAsia="Calibri"/>
        </w:rPr>
        <w:t xml:space="preserve">й</w:t>
      </w:r>
      <w:r>
        <w:rPr>
          <w:rFonts w:ascii="PT Astra Serif" w:hAnsi="PT Astra Serif" w:eastAsia="Calibri"/>
        </w:rPr>
        <w:t xml:space="preserve"> </w:t>
      </w:r>
      <w:r>
        <w:rPr>
          <w:rFonts w:ascii="PT Astra Serif" w:hAnsi="PT Astra Serif" w:eastAsia="Calibri"/>
        </w:rPr>
        <w:t xml:space="preserve">по финансовым вопросам поступило</w:t>
      </w:r>
      <w:r>
        <w:rPr>
          <w:rFonts w:ascii="PT Astra Serif" w:hAnsi="PT Astra Serif" w:eastAsia="Calibri"/>
        </w:rPr>
        <w:t xml:space="preserve"> от мобилизованных граждан и членов </w:t>
        <w:br/>
        <w:t xml:space="preserve">их семей</w:t>
      </w:r>
      <w:r>
        <w:rPr>
          <w:rFonts w:ascii="PT Astra Serif" w:hAnsi="PT Astra Serif" w:eastAsia="Calibri"/>
        </w:rPr>
        <w:t xml:space="preserve">. </w:t>
      </w:r>
      <w:r>
        <w:rPr>
          <w:rFonts w:ascii="PT Astra Serif" w:hAnsi="PT Astra Serif" w:eastAsia="Calibri"/>
        </w:rPr>
      </w:r>
      <w:r>
        <w:rPr>
          <w:rFonts w:ascii="PT Astra Serif" w:hAnsi="PT Astra Serif" w:eastAsia="Calibri"/>
        </w:rPr>
      </w:r>
    </w:p>
    <w:p>
      <w:pPr>
        <w:pStyle w:val="846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rFonts w:ascii="PT Astra Serif" w:hAnsi="PT Astra Serif" w:eastAsia="Calibri"/>
        </w:rPr>
      </w:pPr>
      <w:r>
        <w:rPr>
          <w:rFonts w:ascii="PT Astra Serif" w:hAnsi="PT Astra Serif" w:eastAsia="Calibri"/>
        </w:rPr>
      </w:r>
      <w:r>
        <w:rPr>
          <w:rFonts w:ascii="PT Astra Serif" w:hAnsi="PT Astra Serif" w:eastAsia="Calibri"/>
        </w:rPr>
      </w:r>
      <w:r>
        <w:rPr>
          <w:rFonts w:ascii="PT Astra Serif" w:hAnsi="PT Astra Serif" w:eastAsia="Calibri"/>
        </w:rPr>
      </w:r>
    </w:p>
    <w:p>
      <w:pPr>
        <w:pStyle w:val="846"/>
        <w:ind w:left="0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rFonts w:ascii="PT Astra Serif" w:hAnsi="PT Astra Serif" w:eastAsia="Calibri"/>
          <w:color w:val="000000"/>
        </w:rPr>
      </w:pPr>
      <w:r>
        <w:rPr>
          <w:highlight w:val="none"/>
        </w:rPr>
      </w:r>
      <w:r>
        <w:drawing>
          <wp:inline distT="0" distB="0" distL="0" distR="0">
            <wp:extent cx="6480175" cy="2346552"/>
            <wp:effectExtent l="4762" t="4762" r="4762" b="4762"/>
            <wp:docPr id="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rFonts w:ascii="PT Astra Serif" w:hAnsi="PT Astra Serif" w:eastAsia="Calibri"/>
          <w:color w:val="000000"/>
        </w:rPr>
      </w:r>
      <w:r>
        <w:rPr>
          <w:rFonts w:ascii="PT Astra Serif" w:hAnsi="PT Astra Serif" w:eastAsia="Calibri"/>
          <w:color w:val="000000"/>
        </w:rPr>
      </w:r>
    </w:p>
    <w:p>
      <w:pPr>
        <w:pStyle w:val="846"/>
        <w:ind w:left="0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highlight w:val="none"/>
        </w:rPr>
      </w:pPr>
      <w:r>
        <w:rPr>
          <w:rFonts w:ascii="PT Astra Serif" w:hAnsi="PT Astra Serif" w:eastAsia="Calibri"/>
          <w:color w:val="000000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842"/>
        <w:ind w:left="0" w:right="0" w:firstLine="0"/>
        <w:jc w:val="both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Также проведенный анализ письменных обращений показал увеличение количества вопросов, относящихся к сфере кредитования в части высокой кредитной нагрузки, проблемной задолженности, оформления банкротства и мошеннических действий. 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0" w:right="0" w:firstLine="567"/>
        <w:jc w:val="both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Информирование жителей Томской области по наиболее актуальным вопросам осуществляется следующим образом: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42"/>
        <w:ind w:left="0" w:right="0" w:firstLine="709"/>
        <w:jc w:val="both"/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</w:rPr>
        <w:t xml:space="preserve">- </w:t>
      </w:r>
      <w:r>
        <w:rPr>
          <w:rFonts w:ascii="PT Astra Serif" w:hAnsi="PT Astra Serif"/>
          <w:sz w:val="24"/>
          <w:szCs w:val="24"/>
        </w:rPr>
        <w:t xml:space="preserve">в рамках региональной программы повышения финансовой грамотности населения</w:t>
      </w:r>
      <w:r>
        <w:rPr>
          <w:rFonts w:ascii="PT Astra Serif" w:hAnsi="PT Astra Serif"/>
          <w:sz w:val="24"/>
          <w:szCs w:val="24"/>
        </w:rPr>
        <w:t xml:space="preserve"> материалы по финансовым вопросам, </w:t>
      </w:r>
      <w:r>
        <w:rPr>
          <w:rFonts w:ascii="PT Astra Serif" w:hAnsi="PT Astra Serif"/>
          <w:sz w:val="24"/>
          <w:szCs w:val="24"/>
        </w:rPr>
        <w:t xml:space="preserve"> регулярно публикуются в журнале 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lang w:eastAsia="ru-RU"/>
        </w:rPr>
        <w:t xml:space="preserve">«Ваши личные финансы, на </w:t>
      </w:r>
      <w:r>
        <w:rPr>
          <w:rFonts w:ascii="PT Astra Serif" w:hAnsi="PT Astra Serif"/>
          <w:sz w:val="24"/>
          <w:szCs w:val="24"/>
          <w:lang w:eastAsia="ru-RU"/>
        </w:rPr>
        <w:t xml:space="preserve">портале </w:t>
      </w:r>
      <w:r>
        <w:rPr>
          <w:rFonts w:ascii="PT Astra Serif" w:hAnsi="PT Astra Serif"/>
          <w:sz w:val="24"/>
          <w:szCs w:val="24"/>
        </w:rPr>
        <w:t xml:space="preserve">финансовой грамотности (</w:t>
      </w:r>
      <w:r>
        <w:rPr>
          <w:rFonts w:ascii="PT Astra Serif" w:hAnsi="PT Astra Serif"/>
          <w:sz w:val="24"/>
          <w:szCs w:val="24"/>
          <w:lang w:val="en-US"/>
        </w:rPr>
        <w:fldChar w:fldCharType="begin"/>
      </w:r>
      <w:r>
        <w:rPr>
          <w:rFonts w:ascii="PT Astra Serif" w:hAnsi="PT Astra Serif"/>
          <w:sz w:val="24"/>
          <w:szCs w:val="24"/>
        </w:rPr>
        <w:instrText xml:space="preserve"> 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HYPERLINK</w:instrText>
      </w:r>
      <w:r>
        <w:rPr>
          <w:rFonts w:ascii="PT Astra Serif" w:hAnsi="PT Astra Serif"/>
          <w:sz w:val="24"/>
          <w:szCs w:val="24"/>
        </w:rPr>
        <w:instrText xml:space="preserve"> "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https</w:instrText>
      </w:r>
      <w:r>
        <w:rPr>
          <w:rFonts w:ascii="PT Astra Serif" w:hAnsi="PT Astra Serif"/>
          <w:sz w:val="24"/>
          <w:szCs w:val="24"/>
        </w:rPr>
        <w:instrText xml:space="preserve">://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vlfin</w:instrText>
      </w:r>
      <w:r>
        <w:rPr>
          <w:rFonts w:ascii="PT Astra Serif" w:hAnsi="PT Astra Serif"/>
          <w:sz w:val="24"/>
          <w:szCs w:val="24"/>
        </w:rPr>
        <w:instrText xml:space="preserve">.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ru</w:instrText>
      </w:r>
      <w:r>
        <w:rPr>
          <w:rFonts w:ascii="PT Astra Serif" w:hAnsi="PT Astra Serif"/>
          <w:sz w:val="24"/>
          <w:szCs w:val="24"/>
        </w:rPr>
        <w:instrText xml:space="preserve">/</w:instrText>
      </w:r>
      <w:r>
        <w:rPr>
          <w:rFonts w:ascii="PT Astra Serif" w:hAnsi="PT Astra Serif"/>
          <w:sz w:val="24"/>
          <w:szCs w:val="24"/>
        </w:rPr>
        <w:instrText xml:space="preserve">" </w:instrText>
      </w:r>
      <w:r>
        <w:rPr>
          <w:rFonts w:ascii="PT Astra Serif" w:hAnsi="PT Astra Serif"/>
          <w:sz w:val="24"/>
          <w:szCs w:val="24"/>
          <w:lang w:val="en-US"/>
        </w:rPr>
        <w:fldChar w:fldCharType="separate"/>
      </w:r>
      <w:r>
        <w:rPr>
          <w:rStyle w:val="848"/>
          <w:rFonts w:ascii="PT Astra Serif" w:hAnsi="PT Astra Serif"/>
          <w:sz w:val="24"/>
          <w:szCs w:val="24"/>
          <w:lang w:val="en-US"/>
        </w:rPr>
        <w:t xml:space="preserve">https</w:t>
      </w:r>
      <w:r>
        <w:rPr>
          <w:rStyle w:val="848"/>
          <w:rFonts w:ascii="PT Astra Serif" w:hAnsi="PT Astra Serif"/>
          <w:sz w:val="24"/>
          <w:szCs w:val="24"/>
        </w:rPr>
        <w:t xml:space="preserve">://</w:t>
      </w:r>
      <w:r>
        <w:rPr>
          <w:rStyle w:val="848"/>
          <w:rFonts w:ascii="PT Astra Serif" w:hAnsi="PT Astra Serif"/>
          <w:sz w:val="24"/>
          <w:szCs w:val="24"/>
          <w:lang w:val="en-US"/>
        </w:rPr>
        <w:t xml:space="preserve">vlfin</w:t>
      </w:r>
      <w:r>
        <w:rPr>
          <w:rStyle w:val="848"/>
          <w:rFonts w:ascii="PT Astra Serif" w:hAnsi="PT Astra Serif"/>
          <w:sz w:val="24"/>
          <w:szCs w:val="24"/>
        </w:rPr>
        <w:t xml:space="preserve">.</w:t>
      </w:r>
      <w:r>
        <w:rPr>
          <w:rStyle w:val="848"/>
          <w:rFonts w:ascii="PT Astra Serif" w:hAnsi="PT Astra Serif"/>
          <w:sz w:val="24"/>
          <w:szCs w:val="24"/>
          <w:lang w:val="en-US"/>
        </w:rPr>
        <w:t xml:space="preserve">ru</w:t>
      </w:r>
      <w:r>
        <w:rPr>
          <w:rStyle w:val="848"/>
          <w:rFonts w:ascii="PT Astra Serif" w:hAnsi="PT Astra Serif"/>
          <w:sz w:val="24"/>
          <w:szCs w:val="24"/>
        </w:rPr>
        <w:t xml:space="preserve">/</w:t>
      </w:r>
      <w:r>
        <w:rPr>
          <w:rFonts w:ascii="PT Astra Serif" w:hAnsi="PT Astra Serif"/>
          <w:sz w:val="24"/>
          <w:szCs w:val="24"/>
          <w:lang w:val="en-US"/>
        </w:rPr>
        <w:fldChar w:fldCharType="end"/>
      </w:r>
      <w:r>
        <w:rPr>
          <w:rFonts w:ascii="PT Astra Serif" w:hAnsi="PT Astra Serif"/>
          <w:sz w:val="24"/>
          <w:szCs w:val="24"/>
        </w:rPr>
        <w:t xml:space="preserve">) и на страницах проекта</w:t>
      </w:r>
      <w:r>
        <w:rPr>
          <w:rFonts w:ascii="PT Astra Serif" w:hAnsi="PT Astra Serif"/>
          <w:sz w:val="24"/>
          <w:szCs w:val="24"/>
        </w:rPr>
        <w:t xml:space="preserve"> </w:t>
        <w:br/>
      </w:r>
      <w:r>
        <w:rPr>
          <w:rFonts w:ascii="PT Astra Serif" w:hAnsi="PT Astra Serif"/>
          <w:sz w:val="24"/>
          <w:szCs w:val="24"/>
        </w:rPr>
        <w:t xml:space="preserve">в социальных сетях Вконтакте, Одноклассники, Телегармм и Яндекс.Дзен</w:t>
      </w:r>
      <w:r>
        <w:rPr>
          <w:rFonts w:ascii="PT Astra Serif" w:hAnsi="PT Astra Serif"/>
          <w:sz w:val="24"/>
          <w:szCs w:val="24"/>
        </w:rPr>
        <w:t xml:space="preserve">;</w:t>
      </w:r>
      <w:r>
        <w:rPr>
          <w:rFonts w:ascii="PT Astra Serif" w:hAnsi="PT Astra Serif"/>
          <w:sz w:val="24"/>
          <w:szCs w:val="24"/>
          <w:lang w:eastAsia="ru-RU"/>
        </w:rPr>
      </w:r>
      <w:r>
        <w:rPr>
          <w:rFonts w:ascii="PT Astra Serif" w:hAnsi="PT Astra Serif"/>
          <w:sz w:val="24"/>
          <w:szCs w:val="24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>
        <w:rPr>
          <w:rFonts w:ascii="PT Astra Serif" w:hAnsi="PT Astra Serif"/>
          <w:sz w:val="24"/>
          <w:szCs w:val="24"/>
        </w:rPr>
        <w:t xml:space="preserve">по вопросам, касающихся приобретения, продажи и налогообложения ценных бумаг с</w:t>
      </w:r>
      <w:r>
        <w:rPr>
          <w:rFonts w:ascii="PT Astra Serif" w:hAnsi="PT Astra Serif"/>
          <w:sz w:val="24"/>
          <w:szCs w:val="24"/>
        </w:rPr>
        <w:t xml:space="preserve">ведения</w:t>
      </w:r>
      <w:r>
        <w:rPr>
          <w:rFonts w:ascii="PT Astra Serif" w:hAnsi="PT Astra Serif"/>
          <w:sz w:val="24"/>
          <w:szCs w:val="24"/>
        </w:rPr>
        <w:t xml:space="preserve"> по региональным ценным бумагам </w:t>
      </w:r>
      <w:r>
        <w:rPr>
          <w:rFonts w:ascii="PT Astra Serif" w:hAnsi="PT Astra Serif"/>
          <w:sz w:val="24"/>
          <w:szCs w:val="24"/>
        </w:rPr>
        <w:t xml:space="preserve">размещаю</w:t>
      </w:r>
      <w:r>
        <w:rPr>
          <w:rFonts w:ascii="PT Astra Serif" w:hAnsi="PT Astra Serif"/>
          <w:sz w:val="24"/>
          <w:szCs w:val="24"/>
        </w:rPr>
        <w:t xml:space="preserve">тся на официальном сайте Департамента финансов Томской области (</w:t>
      </w:r>
      <w:r>
        <w:rPr>
          <w:rFonts w:ascii="PT Astra Serif" w:hAnsi="PT Astra Serif"/>
          <w:sz w:val="24"/>
          <w:szCs w:val="24"/>
        </w:rPr>
        <w:fldChar w:fldCharType="begin"/>
      </w:r>
      <w:r>
        <w:rPr>
          <w:rFonts w:ascii="PT Astra Serif" w:hAnsi="PT Astra Serif"/>
          <w:sz w:val="24"/>
          <w:szCs w:val="24"/>
        </w:rPr>
        <w:instrText xml:space="preserve"> HYPERLINK "</w:instrText>
      </w:r>
      <w:r>
        <w:rPr>
          <w:rFonts w:ascii="PT Astra Serif" w:hAnsi="PT Astra Serif"/>
          <w:sz w:val="24"/>
          <w:szCs w:val="24"/>
        </w:rPr>
        <w:instrText xml:space="preserve">https://depfin.tomsk.gov.ru/</w:instrText>
      </w:r>
      <w:r>
        <w:rPr>
          <w:rFonts w:ascii="PT Astra Serif" w:hAnsi="PT Astra Serif"/>
          <w:sz w:val="24"/>
          <w:szCs w:val="24"/>
        </w:rPr>
        <w:instrText xml:space="preserve">" </w:instrText>
      </w:r>
      <w:r>
        <w:rPr>
          <w:rFonts w:ascii="PT Astra Serif" w:hAnsi="PT Astra Serif"/>
          <w:sz w:val="24"/>
          <w:szCs w:val="24"/>
        </w:rPr>
        <w:fldChar w:fldCharType="separate"/>
      </w:r>
      <w:r>
        <w:rPr>
          <w:rStyle w:val="848"/>
          <w:rFonts w:ascii="PT Astra Serif" w:hAnsi="PT Astra Serif"/>
          <w:sz w:val="24"/>
          <w:szCs w:val="24"/>
        </w:rPr>
        <w:t xml:space="preserve">https://depfin.tomsk.gov.ru/</w:t>
      </w:r>
      <w:r>
        <w:rPr>
          <w:rFonts w:ascii="PT Astra Serif" w:hAnsi="PT Astra Serif"/>
          <w:sz w:val="24"/>
          <w:szCs w:val="24"/>
        </w:rPr>
        <w:fldChar w:fldCharType="end"/>
      </w:r>
      <w:r>
        <w:rPr>
          <w:rFonts w:ascii="PT Astra Serif" w:hAnsi="PT Astra Serif"/>
          <w:sz w:val="24"/>
          <w:szCs w:val="24"/>
        </w:rPr>
        <w:t xml:space="preserve">)</w:t>
      </w:r>
      <w:r>
        <w:rPr>
          <w:rFonts w:ascii="PT Astra Serif" w:hAnsi="PT Astra Serif"/>
          <w:sz w:val="24"/>
          <w:szCs w:val="24"/>
        </w:rPr>
        <w:t xml:space="preserve"> в разделе «Деятельность», подразделе «Государственный долг</w:t>
      </w:r>
      <w:r>
        <w:rPr>
          <w:rFonts w:ascii="PT Astra Serif" w:hAnsi="PT Astra Serif"/>
          <w:sz w:val="24"/>
          <w:szCs w:val="24"/>
        </w:rPr>
        <w:t xml:space="preserve">», а также на 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сайт</w:t>
      </w:r>
      <w:r>
        <w:rPr>
          <w:rFonts w:ascii="PT Astra Serif" w:hAnsi="PT Astra Serif"/>
          <w:sz w:val="24"/>
          <w:szCs w:val="24"/>
        </w:rPr>
        <w:t xml:space="preserve">е</w:t>
      </w:r>
      <w:r>
        <w:rPr>
          <w:rFonts w:ascii="PT Astra Serif" w:hAnsi="PT Astra Serif"/>
          <w:sz w:val="24"/>
          <w:szCs w:val="24"/>
        </w:rPr>
        <w:t xml:space="preserve"> «Облигации Томской области» (</w:t>
      </w:r>
      <w:r>
        <w:rPr>
          <w:rFonts w:ascii="PT Astra Serif" w:hAnsi="PT Astra Serif"/>
          <w:sz w:val="24"/>
          <w:szCs w:val="24"/>
        </w:rPr>
        <w:fldChar w:fldCharType="begin"/>
      </w:r>
      <w:r>
        <w:rPr>
          <w:rFonts w:ascii="PT Astra Serif" w:hAnsi="PT Astra Serif"/>
          <w:sz w:val="24"/>
          <w:szCs w:val="24"/>
        </w:rPr>
        <w:instrText xml:space="preserve"> HYPERLINK "</w:instrText>
      </w:r>
      <w:r>
        <w:rPr>
          <w:rFonts w:ascii="PT Astra Serif" w:hAnsi="PT Astra Serif"/>
          <w:sz w:val="24"/>
          <w:szCs w:val="24"/>
        </w:rPr>
        <w:instrText xml:space="preserve">https://bonds.tomsk.ru/</w:instrText>
      </w:r>
      <w:r>
        <w:rPr>
          <w:rFonts w:ascii="PT Astra Serif" w:hAnsi="PT Astra Serif"/>
          <w:sz w:val="24"/>
          <w:szCs w:val="24"/>
        </w:rPr>
        <w:instrText xml:space="preserve">" </w:instrText>
      </w:r>
      <w:r>
        <w:rPr>
          <w:rFonts w:ascii="PT Astra Serif" w:hAnsi="PT Astra Serif"/>
          <w:sz w:val="24"/>
          <w:szCs w:val="24"/>
        </w:rPr>
        <w:fldChar w:fldCharType="separate"/>
      </w:r>
      <w:r>
        <w:rPr>
          <w:rStyle w:val="848"/>
          <w:rFonts w:ascii="PT Astra Serif" w:hAnsi="PT Astra Serif"/>
          <w:sz w:val="24"/>
          <w:szCs w:val="24"/>
        </w:rPr>
        <w:t xml:space="preserve">https://bonds.tomsk.ru/</w:t>
      </w:r>
      <w:r>
        <w:rPr>
          <w:rFonts w:ascii="PT Astra Serif" w:hAnsi="PT Astra Serif"/>
          <w:sz w:val="24"/>
          <w:szCs w:val="24"/>
        </w:rPr>
        <w:fldChar w:fldCharType="end"/>
        <w:fldChar w:fldCharType="begin"/>
      </w:r>
      <w:r>
        <w:rPr>
          <w:rFonts w:ascii="PT Astra Serif" w:hAnsi="PT Astra Serif"/>
          <w:sz w:val="24"/>
          <w:szCs w:val="24"/>
        </w:rPr>
        <w:instrText xml:space="preserve"> HYPERLINK "</w:instrText>
      </w:r>
      <w:r>
        <w:rPr>
          <w:rFonts w:ascii="PT Astra Serif" w:hAnsi="PT Astra Serif"/>
          <w:sz w:val="24"/>
          <w:szCs w:val="24"/>
        </w:rPr>
        <w:instrText xml:space="preserve">https://bonds70.ru/</w:instrText>
      </w:r>
      <w:r>
        <w:rPr>
          <w:rFonts w:ascii="PT Astra Serif" w:hAnsi="PT Astra Serif"/>
          <w:sz w:val="24"/>
          <w:szCs w:val="24"/>
        </w:rPr>
        <w:instrText xml:space="preserve">" </w:instrText>
      </w:r>
      <w:r>
        <w:rPr>
          <w:rFonts w:ascii="PT Astra Serif" w:hAnsi="PT Astra Serif"/>
          <w:sz w:val="24"/>
          <w:szCs w:val="24"/>
        </w:rPr>
        <w:fldChar w:fldCharType="separate"/>
        <w:fldChar w:fldCharType="end"/>
      </w:r>
      <w:r>
        <w:rPr>
          <w:rFonts w:ascii="PT Astra Serif" w:hAnsi="PT Astra Serif"/>
          <w:sz w:val="24"/>
          <w:szCs w:val="24"/>
        </w:rPr>
        <w:t xml:space="preserve">).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0" w:righ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</w:rPr>
      </w:pPr>
      <w:r>
        <w:rPr>
          <w:rFonts w:ascii="PT Astra Serif" w:hAnsi="PT Astra Serif"/>
          <w:sz w:val="24"/>
          <w:szCs w:val="24"/>
          <w:highlight w:val="none"/>
          <w:lang w:eastAsia="ru-RU"/>
        </w:rPr>
        <w:t xml:space="preserve">В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целях оказания бесплатной консультационной помощи жителям региона, попавшим </w:t>
        <w:br/>
        <w:t xml:space="preserve">в сложную финансовую ситуацию, в рамках проекта «Ваши личные финансы»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на базе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Регионального центра финансовой грамотности (РЦФГ)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функционирует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«Ант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икризисный центр».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</w:rPr>
      </w:r>
    </w:p>
    <w:p>
      <w:pPr>
        <w:ind w:left="0" w:righ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За 1 квартал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2025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года специал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истами центра было проведено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82 консультаци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и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</w:t>
        <w:br/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гражданами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,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в том числе посредством «горячей линии»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.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Наиболее часто задаваемые вопросы связаны: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</w:r>
      <w:r/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с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банкротством граждан во внесудебном порядке через МФЦ, оформлением заявления и необходимыми документами, сроками процедуры, отражением сведений на ЕФРСБ </w:t>
        <w:br/>
        <w:t xml:space="preserve">и применением последствий (50 % обращений);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банкротством граждан в судебном порядке, реструктуризацией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долгов, реализацией имущества, взаимодействием с финансовым управляющим должника и отражением сведений </w:t>
        <w:br/>
        <w:t xml:space="preserve">в картотеке арбитражных дел (20%);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наследством, имущественными спорами и взысканием задолженности с наследников (5%);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мошенническими действиями, порядком обращения граждан в правоохранительные органы, оспариванием сделок с Банками (5%);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исполнительным производством, взысканием задолженности по кредитным, коммунальным платежам, отражением сведений в Базе данных исполнительных производств (5%);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лжеюридическими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услугами (5%);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отменой судебных приказов, обжалованием судебных актов (5%);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оказанием финансовых услуг потребителю (5%).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842"/>
        <w:ind w:firstLine="709"/>
        <w:jc w:val="both"/>
        <w:spacing w:after="0"/>
        <w:rPr>
          <w:rFonts w:ascii="PT Astra Serif" w:hAnsi="PT Astra Serif"/>
          <w:color w:val="ff0000"/>
          <w:sz w:val="24"/>
          <w:szCs w:val="26"/>
          <w:highlight w:val="white"/>
        </w:rPr>
      </w:pPr>
      <w:r>
        <w:rPr>
          <w:rFonts w:ascii="PT Astra Serif" w:hAnsi="PT Astra Serif"/>
          <w:color w:val="ff0000"/>
          <w:sz w:val="24"/>
          <w:szCs w:val="26"/>
          <w:highlight w:val="white"/>
          <w:lang w:eastAsia="ru-RU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Обратиться за консультацией можно любым удобным способом: по адресу г. Томск, </w:t>
        <w:br/>
        <w:t xml:space="preserve">ул. Гоголя, д. 15, оф. 401,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по телефону «горячей линии»8-800-201-67-70, через портал финансовой грамотности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</w:r>
      <w:hyperlink r:id="rId11" w:tooltip="https://vlfin.ru/feedback." w:history="1">
        <w:r>
          <w:rPr>
            <w:rFonts w:ascii="PT Astra Serif" w:hAnsi="PT Astra Serif"/>
            <w:sz w:val="24"/>
            <w:szCs w:val="24"/>
            <w:highlight w:val="white"/>
            <w:lang w:eastAsia="ru-RU"/>
          </w:rPr>
          <w:t xml:space="preserve">https://vlfin.ru/feedback.</w:t>
        </w:r>
      </w:hyperlink>
      <w:r>
        <w:rPr>
          <w:rFonts w:ascii="PT Astra Serif" w:hAnsi="PT Astra Serif"/>
          <w:color w:val="ff0000"/>
          <w:sz w:val="24"/>
          <w:szCs w:val="26"/>
          <w:highlight w:val="white"/>
        </w:rPr>
      </w:r>
      <w:r>
        <w:rPr>
          <w:rFonts w:ascii="PT Astra Serif" w:hAnsi="PT Astra Serif"/>
          <w:color w:val="ff0000"/>
          <w:sz w:val="24"/>
          <w:szCs w:val="26"/>
          <w:highlight w:val="white"/>
        </w:rPr>
      </w:r>
    </w:p>
    <w:p>
      <w:pPr>
        <w:pStyle w:val="842"/>
        <w:jc w:val="both"/>
        <w:spacing w:after="0" w:line="240" w:lineRule="auto"/>
        <w:rPr>
          <w:rFonts w:ascii="Times New Roman" w:hAnsi="Times New Roman"/>
          <w:color w:val="ff0000"/>
          <w:sz w:val="24"/>
          <w:szCs w:val="28"/>
        </w:rPr>
      </w:pPr>
      <w:r>
        <w:rPr>
          <w:rFonts w:ascii="Times New Roman" w:hAnsi="Times New Roman"/>
          <w:color w:val="ff0000"/>
          <w:sz w:val="24"/>
          <w:szCs w:val="28"/>
        </w:rPr>
      </w:r>
      <w:r>
        <w:rPr>
          <w:rFonts w:ascii="Times New Roman" w:hAnsi="Times New Roman"/>
          <w:color w:val="ff0000"/>
          <w:sz w:val="24"/>
          <w:szCs w:val="28"/>
        </w:rPr>
      </w:r>
      <w:r>
        <w:rPr>
          <w:rFonts w:ascii="Times New Roman" w:hAnsi="Times New Roman"/>
          <w:color w:val="ff0000"/>
          <w:sz w:val="24"/>
          <w:szCs w:val="28"/>
        </w:rPr>
      </w:r>
    </w:p>
    <w:p>
      <w:pPr>
        <w:pStyle w:val="842"/>
        <w:jc w:val="both"/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</w:r>
      <w:r>
        <w:rPr>
          <w:rFonts w:ascii="Times New Roman" w:hAnsi="Times New Roman"/>
          <w:sz w:val="24"/>
          <w:szCs w:val="28"/>
        </w:rPr>
      </w:r>
      <w:r>
        <w:rPr>
          <w:rFonts w:ascii="Times New Roman" w:hAnsi="Times New Roman"/>
          <w:sz w:val="24"/>
          <w:szCs w:val="28"/>
        </w:rPr>
      </w:r>
    </w:p>
    <w:p>
      <w:pPr>
        <w:jc w:val="both"/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6"/>
          <w:highlight w:val="none"/>
          <w:lang w:eastAsia="ru-RU"/>
        </w:rPr>
      </w:r>
      <w:r>
        <w:rPr>
          <w:rFonts w:ascii="PT Astra Serif" w:hAnsi="PT Astra Serif"/>
          <w:sz w:val="24"/>
          <w:szCs w:val="24"/>
          <w:lang w:eastAsia="ru-RU"/>
        </w:rPr>
      </w:r>
      <w:r>
        <w:rPr>
          <w:rFonts w:ascii="PT Astra Serif" w:hAnsi="PT Astra Serif"/>
          <w:sz w:val="24"/>
          <w:szCs w:val="24"/>
          <w:lang w:eastAsia="ru-RU"/>
        </w:rPr>
      </w:r>
    </w:p>
    <w:p>
      <w:pPr>
        <w:pStyle w:val="842"/>
        <w:jc w:val="both"/>
        <w:spacing w:after="0" w:line="240" w:lineRule="auto"/>
        <w:rPr>
          <w:rFonts w:ascii="PT Astra Serif" w:hAnsi="PT Astra Serif"/>
          <w:sz w:val="24"/>
          <w:szCs w:val="24"/>
          <w:highlight w:val="none"/>
          <w:lang w:eastAsia="ru-RU"/>
        </w:rPr>
      </w:pPr>
      <w:r>
        <w:rPr>
          <w:rFonts w:ascii="PT Astra Serif" w:hAnsi="PT Astra Serif"/>
          <w:sz w:val="24"/>
          <w:szCs w:val="26"/>
          <w:lang w:eastAsia="ru-RU"/>
        </w:rPr>
        <w:t xml:space="preserve">Председатель комитета государственного долга</w:t>
        <w:tab/>
        <w:tab/>
        <w:tab/>
      </w:r>
      <w:r>
        <w:rPr>
          <w:rFonts w:ascii="PT Astra Serif" w:hAnsi="PT Astra Serif"/>
          <w:sz w:val="24"/>
          <w:szCs w:val="26"/>
          <w:lang w:eastAsia="ru-RU"/>
        </w:rPr>
        <w:tab/>
      </w:r>
      <w:r>
        <w:rPr>
          <w:rFonts w:ascii="PT Astra Serif" w:hAnsi="PT Astra Serif"/>
          <w:sz w:val="24"/>
          <w:szCs w:val="26"/>
          <w:lang w:eastAsia="ru-RU"/>
        </w:rPr>
        <w:t xml:space="preserve">        </w:t>
      </w:r>
      <w:r>
        <w:rPr>
          <w:rFonts w:ascii="PT Astra Serif" w:hAnsi="PT Astra Serif"/>
          <w:sz w:val="24"/>
          <w:szCs w:val="26"/>
          <w:lang w:eastAsia="ru-RU"/>
        </w:rPr>
        <w:t xml:space="preserve">                </w:t>
      </w:r>
      <w:r>
        <w:rPr>
          <w:rFonts w:ascii="PT Astra Serif" w:hAnsi="PT Astra Serif"/>
          <w:sz w:val="24"/>
          <w:szCs w:val="26"/>
          <w:lang w:eastAsia="ru-RU"/>
        </w:rPr>
        <w:t xml:space="preserve">О.В. Болтовская</w:t>
      </w:r>
      <w:r>
        <w:rPr>
          <w:rFonts w:ascii="PT Astra Serif" w:hAnsi="PT Astra Serif"/>
          <w:sz w:val="24"/>
          <w:szCs w:val="24"/>
          <w:highlight w:val="none"/>
          <w:lang w:eastAsia="ru-RU"/>
        </w:rPr>
      </w:r>
      <w:r>
        <w:rPr>
          <w:rFonts w:ascii="PT Astra Serif" w:hAnsi="PT Astra Serif"/>
          <w:sz w:val="24"/>
          <w:szCs w:val="24"/>
          <w:highlight w:val="none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4"/>
          <w:szCs w:val="26"/>
          <w:lang w:eastAsia="ru-RU"/>
        </w:rPr>
      </w:pPr>
      <w:r>
        <w:rPr>
          <w:rFonts w:ascii="PT Astra Serif" w:hAnsi="PT Astra Serif"/>
          <w:sz w:val="24"/>
          <w:szCs w:val="26"/>
          <w:lang w:eastAsia="ru-RU"/>
        </w:rPr>
      </w:r>
      <w:r>
        <w:rPr>
          <w:rFonts w:ascii="PT Astra Serif" w:hAnsi="PT Astra Serif"/>
          <w:sz w:val="24"/>
          <w:szCs w:val="26"/>
          <w:lang w:eastAsia="ru-RU"/>
        </w:rPr>
      </w:r>
      <w:r>
        <w:rPr>
          <w:rFonts w:ascii="PT Astra Serif" w:hAnsi="PT Astra Serif"/>
          <w:sz w:val="24"/>
          <w:szCs w:val="26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4"/>
          <w:szCs w:val="26"/>
          <w:lang w:eastAsia="ru-RU"/>
        </w:rPr>
      </w:pPr>
      <w:r>
        <w:rPr>
          <w:rFonts w:ascii="PT Astra Serif" w:hAnsi="PT Astra Serif"/>
          <w:sz w:val="24"/>
          <w:szCs w:val="26"/>
          <w:lang w:eastAsia="ru-RU"/>
        </w:rPr>
      </w:r>
      <w:r>
        <w:rPr>
          <w:rFonts w:ascii="PT Astra Serif" w:hAnsi="PT Astra Serif"/>
          <w:sz w:val="24"/>
          <w:szCs w:val="26"/>
          <w:lang w:eastAsia="ru-RU"/>
        </w:rPr>
      </w:r>
      <w:r>
        <w:rPr>
          <w:rFonts w:ascii="PT Astra Serif" w:hAnsi="PT Astra Serif"/>
          <w:sz w:val="24"/>
          <w:szCs w:val="26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2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p>
      <w:pPr>
        <w:pStyle w:val="842"/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lang w:eastAsia="ru-RU"/>
        </w:rPr>
        <w:t xml:space="preserve">исп.</w:t>
      </w:r>
      <w:r>
        <w:rPr>
          <w:rFonts w:ascii="PT Astra Serif" w:hAnsi="PT Astra Serif"/>
          <w:lang w:eastAsia="ru-RU"/>
        </w:rPr>
        <w:t xml:space="preserve"> </w:t>
      </w:r>
      <w:r>
        <w:rPr>
          <w:rFonts w:ascii="PT Astra Serif" w:hAnsi="PT Astra Serif"/>
          <w:lang w:eastAsia="ru-RU"/>
        </w:rPr>
        <w:t xml:space="preserve">Балкина О.В</w:t>
      </w:r>
      <w:r>
        <w:rPr>
          <w:rFonts w:ascii="PT Astra Serif" w:hAnsi="PT Astra Serif"/>
          <w:lang w:eastAsia="ru-RU"/>
        </w:rPr>
        <w:t xml:space="preserve">.</w:t>
      </w:r>
      <w:r>
        <w:rPr>
          <w:rFonts w:ascii="PT Astra Serif" w:hAnsi="PT Astra Serif"/>
          <w:lang w:eastAsia="ru-RU"/>
        </w:rPr>
        <w:t xml:space="preserve"> , </w:t>
      </w:r>
      <w:r>
        <w:rPr>
          <w:rFonts w:ascii="PT Astra Serif" w:hAnsi="PT Astra Serif"/>
          <w:lang w:eastAsia="ru-RU"/>
        </w:rPr>
        <w:t xml:space="preserve">тел. (3822) 712-3</w:t>
      </w:r>
      <w:r>
        <w:rPr>
          <w:rFonts w:ascii="PT Astra Serif" w:hAnsi="PT Astra Serif"/>
          <w:lang w:eastAsia="ru-RU"/>
        </w:rPr>
        <w:t xml:space="preserve">74</w:t>
      </w: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28" w:hanging="360"/>
        <w:tabs>
          <w:tab w:val="num" w:pos="928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667" w:hanging="360"/>
        <w:tabs>
          <w:tab w:val="num" w:pos="2667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387" w:hanging="360"/>
        <w:tabs>
          <w:tab w:val="num" w:pos="3387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107" w:hanging="360"/>
        <w:tabs>
          <w:tab w:val="num" w:pos="4107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827" w:hanging="360"/>
        <w:tabs>
          <w:tab w:val="num" w:pos="4827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547" w:hanging="360"/>
        <w:tabs>
          <w:tab w:val="num" w:pos="5547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267" w:hanging="360"/>
        <w:tabs>
          <w:tab w:val="num" w:pos="6267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987" w:hanging="360"/>
        <w:tabs>
          <w:tab w:val="num" w:pos="6987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707" w:hanging="360"/>
        <w:tabs>
          <w:tab w:val="num" w:pos="7707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space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>
    <w:name w:val="Heading 1"/>
    <w:basedOn w:val="842"/>
    <w:next w:val="842"/>
    <w:link w:val="66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5">
    <w:name w:val="Heading 1 Char"/>
    <w:link w:val="664"/>
    <w:uiPriority w:val="9"/>
    <w:rPr>
      <w:rFonts w:ascii="Arial" w:hAnsi="Arial" w:eastAsia="Arial" w:cs="Arial"/>
      <w:sz w:val="40"/>
      <w:szCs w:val="40"/>
    </w:rPr>
  </w:style>
  <w:style w:type="paragraph" w:styleId="666">
    <w:name w:val="Heading 2"/>
    <w:basedOn w:val="842"/>
    <w:next w:val="842"/>
    <w:link w:val="66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7">
    <w:name w:val="Heading 2 Char"/>
    <w:link w:val="666"/>
    <w:uiPriority w:val="9"/>
    <w:rPr>
      <w:rFonts w:ascii="Arial" w:hAnsi="Arial" w:eastAsia="Arial" w:cs="Arial"/>
      <w:sz w:val="34"/>
    </w:rPr>
  </w:style>
  <w:style w:type="paragraph" w:styleId="668">
    <w:name w:val="Heading 3"/>
    <w:basedOn w:val="842"/>
    <w:next w:val="842"/>
    <w:link w:val="66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9">
    <w:name w:val="Heading 3 Char"/>
    <w:link w:val="668"/>
    <w:uiPriority w:val="9"/>
    <w:rPr>
      <w:rFonts w:ascii="Arial" w:hAnsi="Arial" w:eastAsia="Arial" w:cs="Arial"/>
      <w:sz w:val="30"/>
      <w:szCs w:val="30"/>
    </w:rPr>
  </w:style>
  <w:style w:type="paragraph" w:styleId="670">
    <w:name w:val="Heading 4"/>
    <w:basedOn w:val="842"/>
    <w:next w:val="842"/>
    <w:link w:val="67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1">
    <w:name w:val="Heading 4 Char"/>
    <w:link w:val="670"/>
    <w:uiPriority w:val="9"/>
    <w:rPr>
      <w:rFonts w:ascii="Arial" w:hAnsi="Arial" w:eastAsia="Arial" w:cs="Arial"/>
      <w:b/>
      <w:bCs/>
      <w:sz w:val="26"/>
      <w:szCs w:val="26"/>
    </w:rPr>
  </w:style>
  <w:style w:type="paragraph" w:styleId="672">
    <w:name w:val="Heading 5"/>
    <w:basedOn w:val="842"/>
    <w:next w:val="842"/>
    <w:link w:val="67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3">
    <w:name w:val="Heading 5 Char"/>
    <w:link w:val="672"/>
    <w:uiPriority w:val="9"/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842"/>
    <w:next w:val="842"/>
    <w:link w:val="6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5">
    <w:name w:val="Heading 6 Char"/>
    <w:link w:val="674"/>
    <w:uiPriority w:val="9"/>
    <w:rPr>
      <w:rFonts w:ascii="Arial" w:hAnsi="Arial" w:eastAsia="Arial" w:cs="Arial"/>
      <w:b/>
      <w:bCs/>
      <w:sz w:val="22"/>
      <w:szCs w:val="22"/>
    </w:rPr>
  </w:style>
  <w:style w:type="paragraph" w:styleId="676">
    <w:name w:val="Heading 7"/>
    <w:basedOn w:val="842"/>
    <w:next w:val="842"/>
    <w:link w:val="67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7">
    <w:name w:val="Heading 7 Char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8">
    <w:name w:val="Heading 8"/>
    <w:basedOn w:val="842"/>
    <w:next w:val="842"/>
    <w:link w:val="67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9">
    <w:name w:val="Heading 8 Char"/>
    <w:link w:val="678"/>
    <w:uiPriority w:val="9"/>
    <w:rPr>
      <w:rFonts w:ascii="Arial" w:hAnsi="Arial" w:eastAsia="Arial" w:cs="Arial"/>
      <w:i/>
      <w:iCs/>
      <w:sz w:val="22"/>
      <w:szCs w:val="22"/>
    </w:rPr>
  </w:style>
  <w:style w:type="paragraph" w:styleId="680">
    <w:name w:val="Heading 9"/>
    <w:basedOn w:val="842"/>
    <w:next w:val="842"/>
    <w:link w:val="68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1">
    <w:name w:val="Heading 9 Char"/>
    <w:link w:val="680"/>
    <w:uiPriority w:val="9"/>
    <w:rPr>
      <w:rFonts w:ascii="Arial" w:hAnsi="Arial" w:eastAsia="Arial" w:cs="Arial"/>
      <w:i/>
      <w:iCs/>
      <w:sz w:val="21"/>
      <w:szCs w:val="21"/>
    </w:rPr>
  </w:style>
  <w:style w:type="paragraph" w:styleId="682">
    <w:name w:val="List Paragraph"/>
    <w:basedOn w:val="842"/>
    <w:uiPriority w:val="34"/>
    <w:qFormat/>
    <w:pPr>
      <w:contextualSpacing/>
      <w:ind w:left="720"/>
    </w:p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42"/>
    <w:next w:val="842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link w:val="684"/>
    <w:uiPriority w:val="10"/>
    <w:rPr>
      <w:sz w:val="48"/>
      <w:szCs w:val="48"/>
    </w:rPr>
  </w:style>
  <w:style w:type="paragraph" w:styleId="686">
    <w:name w:val="Subtitle"/>
    <w:basedOn w:val="842"/>
    <w:next w:val="842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link w:val="686"/>
    <w:uiPriority w:val="11"/>
    <w:rPr>
      <w:sz w:val="24"/>
      <w:szCs w:val="24"/>
    </w:rPr>
  </w:style>
  <w:style w:type="paragraph" w:styleId="688">
    <w:name w:val="Quote"/>
    <w:basedOn w:val="842"/>
    <w:next w:val="842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2"/>
    <w:next w:val="842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2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link w:val="692"/>
    <w:uiPriority w:val="99"/>
  </w:style>
  <w:style w:type="paragraph" w:styleId="694">
    <w:name w:val="Footer"/>
    <w:basedOn w:val="842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link w:val="694"/>
    <w:uiPriority w:val="99"/>
  </w:style>
  <w:style w:type="paragraph" w:styleId="696">
    <w:name w:val="Caption"/>
    <w:basedOn w:val="842"/>
    <w:next w:val="8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694"/>
    <w:uiPriority w:val="99"/>
  </w:style>
  <w:style w:type="table" w:styleId="69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4">
    <w:name w:val="Hyperlink"/>
    <w:uiPriority w:val="99"/>
    <w:unhideWhenUsed/>
    <w:rPr>
      <w:color w:val="0000ff" w:themeColor="hyperlink"/>
      <w:u w:val="single"/>
    </w:r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next w:val="842"/>
    <w:link w:val="842"/>
    <w:qFormat/>
    <w:pPr>
      <w:spacing w:after="200" w:line="276" w:lineRule="auto"/>
    </w:pPr>
    <w:rPr>
      <w:sz w:val="22"/>
      <w:szCs w:val="22"/>
      <w:lang w:val="ru-RU" w:eastAsia="en-US" w:bidi="ar-SA"/>
    </w:rPr>
  </w:style>
  <w:style w:type="character" w:styleId="843">
    <w:name w:val="Основной шрифт абзаца"/>
    <w:next w:val="843"/>
    <w:link w:val="842"/>
    <w:uiPriority w:val="1"/>
    <w:unhideWhenUsed/>
  </w:style>
  <w:style w:type="table" w:styleId="844">
    <w:name w:val="Обычная таблица"/>
    <w:next w:val="844"/>
    <w:link w:val="842"/>
    <w:uiPriority w:val="99"/>
    <w:semiHidden/>
    <w:unhideWhenUsed/>
    <w:qFormat/>
    <w:tblPr/>
  </w:style>
  <w:style w:type="numbering" w:styleId="845">
    <w:name w:val="Нет списка"/>
    <w:next w:val="845"/>
    <w:link w:val="842"/>
    <w:uiPriority w:val="99"/>
    <w:semiHidden/>
    <w:unhideWhenUsed/>
  </w:style>
  <w:style w:type="paragraph" w:styleId="846">
    <w:name w:val="Обычный (веб)"/>
    <w:basedOn w:val="842"/>
    <w:next w:val="846"/>
    <w:link w:val="84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47">
    <w:name w:val="Строгий"/>
    <w:basedOn w:val="843"/>
    <w:next w:val="847"/>
    <w:link w:val="842"/>
    <w:uiPriority w:val="22"/>
    <w:qFormat/>
    <w:rPr>
      <w:b/>
      <w:bCs/>
    </w:rPr>
  </w:style>
  <w:style w:type="character" w:styleId="848">
    <w:name w:val="Гиперссылка"/>
    <w:basedOn w:val="843"/>
    <w:next w:val="848"/>
    <w:link w:val="842"/>
    <w:uiPriority w:val="99"/>
    <w:rPr>
      <w:rFonts w:cs="Times New Roman"/>
      <w:color w:val="0000ff"/>
      <w:u w:val="single"/>
    </w:rPr>
  </w:style>
  <w:style w:type="character" w:styleId="849">
    <w:name w:val="Знак примечания"/>
    <w:basedOn w:val="843"/>
    <w:next w:val="849"/>
    <w:link w:val="842"/>
    <w:uiPriority w:val="99"/>
    <w:semiHidden/>
    <w:unhideWhenUsed/>
    <w:rPr>
      <w:sz w:val="16"/>
      <w:szCs w:val="16"/>
    </w:rPr>
  </w:style>
  <w:style w:type="paragraph" w:styleId="850">
    <w:name w:val="Текст примечания"/>
    <w:basedOn w:val="842"/>
    <w:next w:val="850"/>
    <w:link w:val="851"/>
    <w:uiPriority w:val="99"/>
    <w:semiHidden/>
    <w:unhideWhenUsed/>
    <w:rPr>
      <w:sz w:val="20"/>
      <w:szCs w:val="20"/>
    </w:rPr>
  </w:style>
  <w:style w:type="character" w:styleId="851">
    <w:name w:val="Текст примечания Знак"/>
    <w:basedOn w:val="843"/>
    <w:next w:val="851"/>
    <w:link w:val="850"/>
    <w:uiPriority w:val="99"/>
    <w:semiHidden/>
    <w:rPr>
      <w:lang w:eastAsia="en-US"/>
    </w:rPr>
  </w:style>
  <w:style w:type="paragraph" w:styleId="852">
    <w:name w:val="Тема примечания"/>
    <w:basedOn w:val="850"/>
    <w:next w:val="850"/>
    <w:link w:val="853"/>
    <w:uiPriority w:val="99"/>
    <w:semiHidden/>
    <w:unhideWhenUsed/>
    <w:rPr>
      <w:b/>
      <w:bCs/>
    </w:rPr>
  </w:style>
  <w:style w:type="character" w:styleId="853">
    <w:name w:val="Тема примечания Знак"/>
    <w:basedOn w:val="851"/>
    <w:next w:val="853"/>
    <w:link w:val="852"/>
    <w:uiPriority w:val="99"/>
    <w:semiHidden/>
    <w:rPr>
      <w:b/>
      <w:bCs/>
    </w:rPr>
  </w:style>
  <w:style w:type="paragraph" w:styleId="854">
    <w:name w:val="Текст выноски"/>
    <w:basedOn w:val="842"/>
    <w:next w:val="854"/>
    <w:link w:val="85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5">
    <w:name w:val="Текст выноски Знак"/>
    <w:basedOn w:val="843"/>
    <w:next w:val="855"/>
    <w:link w:val="854"/>
    <w:uiPriority w:val="99"/>
    <w:semiHidden/>
    <w:rPr>
      <w:rFonts w:ascii="Tahoma" w:hAnsi="Tahoma" w:cs="Tahoma"/>
      <w:sz w:val="16"/>
      <w:szCs w:val="16"/>
      <w:lang w:eastAsia="en-US"/>
    </w:rPr>
  </w:style>
  <w:style w:type="character" w:styleId="856" w:default="1">
    <w:name w:val="Default Paragraph Font"/>
    <w:uiPriority w:val="1"/>
    <w:semiHidden/>
    <w:unhideWhenUsed/>
  </w:style>
  <w:style w:type="numbering" w:styleId="857" w:default="1">
    <w:name w:val="No List"/>
    <w:uiPriority w:val="99"/>
    <w:semiHidden/>
    <w:unhideWhenUsed/>
  </w:style>
  <w:style w:type="table" w:styleId="85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hart" Target="charts/chart1.xml" /><Relationship Id="rId10" Type="http://schemas.openxmlformats.org/officeDocument/2006/relationships/chart" Target="charts/chart2.xml" /><Relationship Id="rId11" Type="http://schemas.openxmlformats.org/officeDocument/2006/relationships/hyperlink" Target="https://vlfin.ru/feedback.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charts/_rels/chart1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1.xlsx" /></Relationships>
</file>

<file path=word/charts/_rels/chart2.xml.rels><?xml version="1.0" encoding="UTF-8" standalone="yes"?><Relationships xmlns="http://schemas.openxmlformats.org/package/2006/relationships"><Relationship Id="rId1" Type="http://schemas.microsoft.com/office/2011/relationships/chartStyle" Target="style1.xml" /><Relationship Id="rId2" Type="http://schemas.microsoft.com/office/2011/relationships/chartColorStyle" Target="colors1.xml" /><Relationship Id="rId3" Type="http://schemas.openxmlformats.org/officeDocument/2006/relationships/package" Target="../embeddings/Microsoft_Excel_Worksheet2.xlsx" 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0"/>
  <c:lang val="ru-RU"/>
  <c:roundedCorners val="0"/>
  <mc:AlternateContent>
    <mc:Choice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2420"/>
          <c:y val="0.145870"/>
          <c:w val="0.247240"/>
          <c:h val="0.654400"/>
        </c:manualLayout>
      </c:layout>
      <c:pieChart>
        <c:varyColors val="1"/>
        <c:ser>
          <c:idx val="0"/>
          <c:order val="0"/>
          <c:spPr bwMode="auto">
            <a:prstGeom prst="rect">
              <a:avLst/>
            </a:prstGeom>
            <a:gradFill rotWithShape="0">
              <a:gsLst>
                <a:gs pos="0">
                  <a:srgbClr val="2C5D98"/>
                </a:gs>
                <a:gs pos="80000">
                  <a:srgbClr val="3C7BC7"/>
                </a:gs>
                <a:gs pos="100000">
                  <a:srgbClr val="3A7CCB"/>
                </a:gs>
              </a:gsLst>
              <a:lin ang="0" scaled="1"/>
            </a:gradFill>
            <a:ln w="3175">
              <a:noFill/>
            </a:ln>
          </c:spPr>
          <c:explosion val="7"/>
          <c:dPt>
            <c:idx val="0"/>
            <c:bubble3D val="0"/>
            <c:explosion val="9"/>
            <c:spPr bwMode="auto">
              <a:prstGeom prst="rect">
                <a:avLst/>
              </a:prstGeom>
              <a:gradFill rotWithShape="0">
                <a:gsLst>
                  <a:gs pos="0">
                    <a:srgbClr val="2C5D98"/>
                  </a:gs>
                  <a:gs pos="80000">
                    <a:srgbClr val="3C7BC7"/>
                  </a:gs>
                  <a:gs pos="100000">
                    <a:srgbClr val="3A7CCB"/>
                  </a:gs>
                </a:gsLst>
                <a:lin ang="0" scaled="1"/>
              </a:gradFill>
              <a:ln w="3175">
                <a:noFill/>
              </a:ln>
            </c:spPr>
          </c:dPt>
          <c:dPt>
            <c:idx val="1"/>
            <c:bubble3D val="0"/>
            <c:explosion val="9"/>
            <c:spPr bwMode="auto">
              <a:prstGeom prst="rect">
                <a:avLst/>
              </a:prstGeom>
              <a:gradFill rotWithShape="0">
                <a:gsLst>
                  <a:gs pos="0">
                    <a:srgbClr val="9B2D2A"/>
                  </a:gs>
                  <a:gs pos="80000">
                    <a:srgbClr val="CB3D3A"/>
                  </a:gs>
                  <a:gs pos="100000">
                    <a:srgbClr val="CE3B37"/>
                  </a:gs>
                </a:gsLst>
                <a:lin ang="0" scaled="1"/>
              </a:gradFill>
              <a:ln w="3175">
                <a:noFill/>
              </a:ln>
            </c:spPr>
          </c:dPt>
          <c:dPt>
            <c:idx val="2"/>
            <c:bubble3D val="0"/>
            <c:explosion val="8"/>
            <c:spPr bwMode="auto">
              <a:prstGeom prst="rect">
                <a:avLst/>
              </a:prstGeom>
              <a:gradFill rotWithShape="0">
                <a:gsLst>
                  <a:gs pos="0">
                    <a:srgbClr val="769535"/>
                  </a:gs>
                  <a:gs pos="80000">
                    <a:srgbClr val="9BC348"/>
                  </a:gs>
                  <a:gs pos="100000">
                    <a:srgbClr val="9CC746"/>
                  </a:gs>
                </a:gsLst>
                <a:lin ang="0" scaled="1"/>
              </a:gradFill>
              <a:ln w="3175">
                <a:noFill/>
              </a:ln>
            </c:spPr>
          </c:dPt>
          <c:dPt>
            <c:idx val="3"/>
            <c:bubble3D val="0"/>
            <c:spPr bwMode="auto">
              <a:prstGeom prst="rect">
                <a:avLst/>
              </a:prstGeom>
              <a:gradFill rotWithShape="0">
                <a:gsLst>
                  <a:gs pos="0">
                    <a:srgbClr val="5D417E"/>
                  </a:gs>
                  <a:gs pos="80000">
                    <a:srgbClr val="7B58A6"/>
                  </a:gs>
                  <a:gs pos="100000">
                    <a:srgbClr val="7B57A8"/>
                  </a:gs>
                </a:gsLst>
                <a:lin ang="0" scaled="1"/>
              </a:gradFill>
              <a:ln w="6349">
                <a:solidFill>
                  <a:schemeClr val="accent1">
                    <a:lumMod val="50000"/>
                  </a:schemeClr>
                </a:solidFill>
                <a:prstDash val="solid"/>
              </a:ln>
            </c:spPr>
          </c:dPt>
          <c:dPt>
            <c:idx val="4"/>
            <c:bubble3D val="0"/>
            <c:explosion val="8"/>
            <c:spPr bwMode="auto">
              <a:prstGeom prst="rect">
                <a:avLst/>
              </a:prstGeom>
              <a:gradFill rotWithShape="0">
                <a:gsLst>
                  <a:gs pos="0">
                    <a:srgbClr val="2787A0"/>
                  </a:gs>
                  <a:gs pos="80000">
                    <a:srgbClr val="36B1D2"/>
                  </a:gs>
                  <a:gs pos="100000">
                    <a:srgbClr val="34B3D6"/>
                  </a:gs>
                </a:gsLst>
                <a:lin ang="0" scaled="1"/>
              </a:gradFill>
              <a:ln w="3175">
                <a:noFill/>
              </a:ln>
            </c:spPr>
          </c:dPt>
          <c:dPt>
            <c:idx val="5"/>
            <c:bubble3D val="0"/>
            <c:explosion val="8"/>
          </c:dPt>
          <c:dLbls>
            <c:dLbl>
              <c:idx val="1"/>
              <c:dLblPos val="outEnd"/>
              <c:layout>
                <c:manualLayout>
                  <c:x val="0.005790"/>
                  <c:y val="-0.02410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 w="3175">
                  <a:noFill/>
                </a:ln>
              </c:spPr>
              <c:tx>
                <c:rich>
                  <a:bodyPr rot="0" vert="horz"/>
                  <a:lstStyle/>
                  <a:p>
                    <a:pPr>
                      <a:defRPr sz="9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900">
                        <a:latin typeface="PT Astra Serif"/>
                        <a:ea typeface="PT Astra Serif"/>
                        <a:cs typeface="PT Astra Serif"/>
                      </a:rPr>
                      <a:t>6 обращений</a:t>
                    </a:r>
                    <a:endParaRPr sz="9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lstStyle/>
                <a:p>
                  <a:pPr>
                    <a:defRPr sz="9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2"/>
              <c:dLblPos val="outEnd"/>
              <c:layout>
                <c:manualLayout>
                  <c:x val="0.002060"/>
                  <c:y val="0.00003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 w="3175">
                  <a:noFill/>
                </a:ln>
              </c:spPr>
              <c:tx>
                <c:rich>
                  <a:bodyPr rot="0" vert="horz"/>
                  <a:lstStyle/>
                  <a:p>
                    <a:pPr>
                      <a:defRPr sz="9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900">
                        <a:latin typeface="PT Astra Serif"/>
                        <a:ea typeface="PT Astra Serif"/>
                        <a:cs typeface="PT Astra Serif"/>
                      </a:rPr>
                      <a:t>3 обращения</a:t>
                    </a:r>
                    <a:endParaRPr sz="9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lstStyle/>
                <a:p>
                  <a:pPr>
                    <a:defRPr sz="9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3"/>
              <c:dLblPos val="outEnd"/>
              <c:layout>
                <c:manualLayout>
                  <c:x val="-0.009530"/>
                  <c:y val="0.05130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 w="3175">
                  <a:noFill/>
                </a:ln>
              </c:spPr>
              <c:tx>
                <c:rich>
                  <a:bodyPr rot="0" vert="horz"/>
                  <a:lstStyle/>
                  <a:p>
                    <a:pPr>
                      <a:defRPr sz="9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900">
                        <a:latin typeface="PT Astra Serif"/>
                        <a:ea typeface="PT Astra Serif"/>
                        <a:cs typeface="PT Astra Serif"/>
                      </a:rPr>
                      <a:t>82 обращения</a:t>
                    </a:r>
                    <a:endParaRPr sz="900">
                      <a:latin typeface="PT Astra Serif"/>
                      <a:cs typeface="PT Astra Serif"/>
                    </a:endParaRPr>
                  </a:p>
                  <a:p>
                    <a:pPr>
                      <a:defRPr sz="9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endParaRPr sz="9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lstStyle/>
                <a:p>
                  <a:pPr>
                    <a:defRPr sz="9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4"/>
              <c:dLblPos val="outEnd"/>
              <c:layout>
                <c:manualLayout>
                  <c:x val="0.106350"/>
                  <c:y val="0.07878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 w="3175">
                  <a:noFill/>
                </a:ln>
              </c:spPr>
              <c:tx>
                <c:rich>
                  <a:bodyPr rot="0" vert="horz"/>
                  <a:lstStyle/>
                  <a:p>
                    <a:pPr>
                      <a:defRPr sz="9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900">
                        <a:latin typeface="PT Astra Serif"/>
                        <a:ea typeface="PT Astra Serif"/>
                        <a:cs typeface="PT Astra Serif"/>
                      </a:rPr>
                      <a:t>38 о</a:t>
                    </a:r>
                    <a:r>
                      <a:rPr lang="ru-RU" sz="900">
                        <a:latin typeface="PT Astra Serif"/>
                        <a:ea typeface="PT Astra Serif"/>
                        <a:cs typeface="PT Astra Serif"/>
                      </a:rPr>
                      <a:t>бращений</a:t>
                    </a:r>
                    <a:endParaRPr lang="ru-RU" sz="900">
                      <a:latin typeface="PT Astra Serif"/>
                      <a:ea typeface="PT Astra Serif"/>
                      <a:cs typeface="PT Astra Serif"/>
                    </a:endParaRPr>
                  </a:p>
                </c:rich>
              </c:tx>
              <c:txPr>
                <a:bodyPr/>
                <a:lstStyle/>
                <a:p>
                  <a:pPr>
                    <a:defRPr sz="9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5"/>
              <c:dLblPos val="outEnd"/>
              <c:layout>
                <c:manualLayout>
                  <c:x val="0.096030"/>
                  <c:y val="-0.02185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1"/>
              <c:showVal val="1"/>
              <c:spPr bwMode="auto"/>
              <c:tx>
                <c:rich>
                  <a:bodyPr/>
                  <a:lstStyle/>
                  <a:p>
                    <a:pPr>
                      <a:defRPr sz="900">
                        <a:latin typeface="PT Astra Serif"/>
                        <a:ea typeface="PT Astra Serif"/>
                        <a:cs typeface="PT Astra Serif"/>
                      </a:defRPr>
                    </a:pPr>
                    <a:endParaRPr sz="9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lstStyle/>
                <a:p>
                  <a:pPr>
                    <a:defRPr sz="9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0"/>
              <c:delete val="1"/>
              <c:layout/>
              <c:txPr>
                <a:bodyPr/>
                <a:lstStyle/>
                <a:p>
                  <a:pPr>
                    <a:defRPr sz="9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</c:dLbl>
            <c:dLblPos val="outEnd"/>
            <c:separator xml:space="preserve"> </c:separator>
            <c:showBubbleSize val="0"/>
            <c:showCatName val="0"/>
            <c:showLeaderLines val="1"/>
            <c:showLegendKey val="0"/>
            <c:showPercent val="0"/>
            <c:showSerName val="1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900">
                    <a:latin typeface="PT Astra Serif"/>
                    <a:ea typeface="PT Astra Serif"/>
                    <a:cs typeface="PT Astra Serif"/>
                  </a:defRPr>
                </a:pPr>
                <a:endParaRPr lang="ru-RU"/>
              </a:p>
            </c:txPr>
          </c:dLbls>
          <c:cat>
            <c:strRef>
              <c:f>Лист1!$W$5:$W$10</c:f>
              <c:strCache>
                <c:ptCount val="6"/>
                <c:pt idx="0">
                  <c:v xml:space="preserve">перенаправлено в рамках Прямой линии Президента РФ</c:v>
                </c:pt>
                <c:pt idx="1">
                  <c:v xml:space="preserve">перенаправлено из Администрации Президента РФ</c:v>
                </c:pt>
                <c:pt idx="2">
                  <c:v xml:space="preserve">перенаправлено из Администрации Томской области</c:v>
                </c:pt>
                <c:pt idx="3">
                  <c:v xml:space="preserve">поступило в РЦФГ</c:v>
                </c:pt>
                <c:pt idx="4">
                  <c:v xml:space="preserve">перенаправлено в рамках Прямой линии с Губернатором Томской области</c:v>
                </c:pt>
                <c:pt idx="5">
                  <c:v xml:space="preserve">перенаправлено от Губернатора Томской области</c:v>
                </c:pt>
              </c:strCache>
            </c:strRef>
          </c:cat>
          <c:val>
            <c:numRef>
              <c:f>Лист1!$X$5:$X$10</c:f>
              <c:numCache>
                <c:formatCode>General</c:formatCode>
                <c:ptCount val="6"/>
                <c:pt idx="0">
                  <c:v>38</c:v>
                </c:pt>
                <c:pt idx="1">
                  <c:v>6</c:v>
                </c:pt>
                <c:pt idx="2">
                  <c:v>3</c:v>
                </c:pt>
                <c:pt idx="3">
                  <c:v>82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</c:ser>
        <c:dLbls>
          <c:dLblPos val="outEnd"/>
          <c:separator xml:space="preserve"> </c:separator>
          <c:showBubbleSize val="0"/>
          <c:showCatName val="0"/>
          <c:showLeaderLines val="1"/>
          <c:showLegendKey val="0"/>
          <c:showPercent val="0"/>
          <c:showSerName val="1"/>
          <c:showVal val="1"/>
        </c:dLbls>
        <c:firstSliceAng val="0"/>
      </c:pieChart>
    </c:plotArea>
    <c:legend>
      <c:legendPos val="b"/>
      <c:legendEntry>
        <c:idx val="5"/>
        <c:delete val="1"/>
        <c:txPr>
          <a:bodyPr/>
          <a:p>
            <a:pPr>
              <a:defRPr sz="900">
                <a:latin typeface="PT Astra Serif"/>
                <a:ea typeface="PT Astra Serif"/>
                <a:cs typeface="PT Astra Serif"/>
              </a:defRPr>
            </a:pPr>
            <a:endParaRPr/>
          </a:p>
        </c:txPr>
      </c:legendEntry>
      <c:legendEntry>
        <c:idx val="4"/>
        <c:delete val="1"/>
        <c:txPr>
          <a:bodyPr/>
          <a:p>
            <a:pPr>
              <a:defRPr sz="900">
                <a:latin typeface="PT Astra Serif"/>
                <a:ea typeface="PT Astra Serif"/>
                <a:cs typeface="PT Astra Serif"/>
              </a:defRPr>
            </a:pPr>
            <a:endParaRPr/>
          </a:p>
        </c:txPr>
      </c:legendEntry>
      <c:layout>
        <c:manualLayout>
          <c:xMode val="edge"/>
          <c:yMode val="edge"/>
          <c:x val="0.577030"/>
          <c:y val="0.092620"/>
          <c:w val="0.331770"/>
          <c:h val="0.838360"/>
        </c:manualLayout>
      </c:layout>
      <c:overlay val="0"/>
      <c:spPr bwMode="auto">
        <a:prstGeom prst="rect">
          <a:avLst/>
        </a:prstGeom>
        <a:noFill/>
        <a:ln w="12699">
          <a:noFill/>
          <a:prstDash val="solid"/>
        </a:ln>
      </c:spPr>
      <c:txPr>
        <a:bodyPr rot="0" vert="horz"/>
        <a:lstStyle/>
        <a:p>
          <a:pPr>
            <a:defRPr sz="900" b="0" i="0">
              <a:solidFill>
                <a:srgbClr val="000000"/>
              </a:solidFill>
              <a:latin typeface="PT Astra Serif"/>
              <a:ea typeface="PT Astra Serif"/>
              <a:cs typeface="PT Astra Serif"/>
            </a:defRPr>
          </a:pPr>
          <a:endParaRPr lang="ru-RU"/>
        </a:p>
      </c:txPr>
    </c:legend>
    <c:plotVisOnly val="1"/>
    <c:dispBlanksAs val="zero"/>
    <c:showDLblsOverMax val="0"/>
  </c:chart>
  <c:spPr bwMode="auto">
    <a:xfrm>
      <a:off x="0" y="0"/>
      <a:ext cx="5991882" cy="2263885"/>
    </a:xfrm>
    <a:prstGeom prst="rect">
      <a:avLst/>
    </a:prstGeom>
    <a:noFill/>
    <a:ln w="3175" cap="flat" cmpd="sng" algn="ctr">
      <a:noFill/>
      <a:prstDash val="solid"/>
    </a:ln>
  </c:spPr>
  <c:txPr>
    <a:bodyPr rot="0" vert="horz"/>
    <a:lstStyle/>
    <a:p>
      <a:pPr>
        <a:defRPr sz="1000" b="0" i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  <c:printSettings>
    <c:headerFooter/>
    <c:pageMargins l="0.69999999999999996" r="0.69999999999999996" t="0.75" b="0.75" header="0.29999999999999999" footer="0.29999999999999999"/>
    <c:pageSetup/>
  </c:printSettings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0"/>
  <c:lang val="ru-RU"/>
  <c:roundedCorners val="0"/>
  <mc:AlternateContent>
    <mc:Choice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90010"/>
          <c:y val="0.185610"/>
          <c:w val="0.235950"/>
          <c:h val="0.651590"/>
        </c:manualLayout>
      </c:layout>
      <c:pieChart>
        <c:varyColors val="1"/>
        <c:ser>
          <c:idx val="0"/>
          <c:order val="0"/>
          <c:dPt>
            <c:idx val="0"/>
            <c:spPr bwMode="auto">
              <a:prstGeom prst="rect">
                <a:avLst/>
              </a:prstGeom>
              <a:gradFill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Pt>
            <c:idx val="1"/>
            <c:spPr bwMode="auto">
              <a:prstGeom prst="rect">
                <a:avLst/>
              </a:prstGeom>
              <a:gradFill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Pt>
            <c:idx val="2"/>
            <c:spPr bwMode="auto">
              <a:prstGeom prst="rect">
                <a:avLst/>
              </a:prstGeom>
              <a:gradFill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Pt>
            <c:idx val="3"/>
            <c:spPr bwMode="auto">
              <a:prstGeom prst="rect">
                <a:avLst/>
              </a:prstGeom>
              <a:gradFill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Pt>
            <c:idx val="4"/>
            <c:spPr bwMode="auto">
              <a:prstGeom prst="rect">
                <a:avLst/>
              </a:prstGeom>
              <a:gradFill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Lbls>
            <c:dLbl>
              <c:idx val="0"/>
              <c:dLblPos val="outEnd"/>
              <c:layout>
                <c:manualLayout>
                  <c:x val="0.014330"/>
                  <c:y val="-0.03087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Pr>
                <a:bodyPr/>
                <a:p>
                  <a:pPr>
                    <a:defRPr sz="80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/>
                </a:p>
              </c:txPr>
            </c:dLbl>
            <c:dLbl>
              <c:idx val="1"/>
              <c:dLblPos val="outEnd"/>
              <c:layout/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Pr>
                <a:bodyPr/>
                <a:p>
                  <a:pPr>
                    <a:defRPr sz="80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/>
                </a:p>
              </c:txPr>
            </c:dLbl>
            <c:dLbl>
              <c:idx val="2"/>
              <c:dLblPos val="outEnd"/>
              <c:layout>
                <c:manualLayout>
                  <c:x val="0.002930"/>
                  <c:y val="-0.00811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Pr>
                <a:bodyPr/>
                <a:p>
                  <a:pPr>
                    <a:defRPr sz="80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/>
                </a:p>
              </c:txPr>
            </c:dLbl>
            <c:dLbl>
              <c:idx val="3"/>
              <c:dLblPos val="outEnd"/>
              <c:layout>
                <c:manualLayout>
                  <c:x val="0.023940"/>
                  <c:y val="-0.01860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Pr>
                <a:bodyPr/>
                <a:p>
                  <a:pPr>
                    <a:defRPr sz="80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/>
                </a:p>
              </c:txPr>
            </c:dLbl>
            <c:dLbl>
              <c:idx val="4"/>
              <c:dLblPos val="outEnd"/>
              <c:layout/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>
                <c:rich>
                  <a:bodyPr/>
                  <a:p>
                    <a:pPr>
                      <a:defRPr sz="80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endParaRPr/>
                  </a:p>
                </c:rich>
              </c:tx>
              <c:txPr>
                <a:bodyPr/>
                <a:p>
                  <a:pPr>
                    <a:defRPr sz="80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/>
                </a:p>
              </c:txPr>
            </c:dLbl>
            <c:dLblPos val="outEnd"/>
            <c:separator xml:space="preserve"> </c:separator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</c:spPr>
            <c:txPr>
              <a:bodyPr/>
              <a:p>
                <a:pPr>
                  <a:defRPr sz="80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/>
              </a:p>
            </c:txPr>
          </c:dLbls>
          <c:cat>
            <c:strRef>
              <c:f>'Лист1'!$L$5:$L$9</c:f>
              <c:strCache>
                <c:ptCount val="5"/>
                <c:pt idx="0">
                  <c:v xml:space="preserve">вопросы, относящиеся  к сфере кредитования: оформление и погашение кредитов, условия ипотечных программ, высокая кредитная нагрузка, проблемная задолженность по кредитам, оформление банкротства, мошеннические действия.</c:v>
                </c:pt>
                <c:pt idx="1">
                  <c:v xml:space="preserve">иные финансовые вопросы (страхование, банковские вклады, инвестиции и др.)</c:v>
                </c:pt>
                <c:pt idx="2">
                  <c:v xml:space="preserve">вопросы, касающиеся работы кредитно-потребительских кооперативов</c:v>
                </c:pt>
                <c:pt idx="3">
                  <c:v xml:space="preserve">обращения по финансовым вопросам от мобилизованных граждан и членов их семей</c:v>
                </c:pt>
                <c:pt idx="4">
                  <c:v xml:space="preserve">иные вопросы</c:v>
                </c:pt>
              </c:strCache>
            </c:strRef>
          </c:cat>
          <c:val>
            <c:numRef>
              <c:f>'Лист1'!$M$5:$M$9</c:f>
              <c:numCache>
                <c:formatCode>0.0%</c:formatCode>
                <c:ptCount val="5"/>
                <c:pt idx="0">
                  <c:v>0.7659574468085106</c:v>
                </c:pt>
                <c:pt idx="1">
                  <c:v>0.10638297872340426</c:v>
                </c:pt>
                <c:pt idx="2">
                  <c:v>0.0851063829787234</c:v>
                </c:pt>
                <c:pt idx="3">
                  <c:v>0.0425531914893617</c:v>
                </c:pt>
                <c:pt idx="4">
                  <c:v>0</c:v>
                </c:pt>
              </c:numCache>
            </c:numRef>
          </c:val>
        </c:ser>
        <c:dLbls>
          <c:dLblPos val="outEnd"/>
          <c:separator xml:space="preserve"> </c:separator>
          <c:showBubbleSize val="0"/>
          <c:showCatName val="0"/>
          <c:showLeaderLines val="1"/>
          <c:showLegendKey val="0"/>
          <c:showPercent val="0"/>
          <c:showSerName val="0"/>
          <c:showVal val="1"/>
          <c:spPr bwMode="auto">
            <a:prstGeom prst="rect">
              <a:avLst/>
            </a:prstGeom>
            <a:noFill/>
            <a:ln>
              <a:noFill/>
            </a:ln>
          </c:spPr>
          <c:txPr>
            <a:bodyPr/>
            <a:p>
              <a:pPr>
                <a:defRPr sz="80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/>
            </a:p>
          </c:txPr>
        </c:dLbls>
        <c:firstSliceAng val="0"/>
      </c:pieChart>
      <c:spPr bwMode="auto">
        <a:prstGeom prst="rect">
          <a:avLst/>
        </a:prstGeom>
        <a:noFill/>
        <a:ln>
          <a:noFill/>
        </a:ln>
      </c:spPr>
    </c:plotArea>
    <c:legend>
      <c:legendPos val="b"/>
      <c:layout>
        <c:manualLayout>
          <c:xMode val="edge"/>
          <c:yMode val="edge"/>
          <c:x val="0.425440"/>
          <c:y val="0.117000"/>
          <c:w val="0.514320"/>
          <c:h val="0.803320"/>
        </c:manualLayout>
      </c:layout>
      <c:overlay val="0"/>
      <c:spPr bwMode="auto">
        <a:prstGeom prst="rect">
          <a:avLst/>
        </a:prstGeom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>
              <a:solidFill>
                <a:schemeClr val="tx1"/>
              </a:solidFill>
              <a:latin typeface="PT Astra Serif"/>
              <a:ea typeface="PT Astra Serif"/>
              <a:cs typeface="PT Astra Serif"/>
            </a:defRPr>
          </a:pPr>
          <a:endParaRPr lang="en-US"/>
        </a:p>
      </c:txPr>
    </c:legend>
    <c:plotVisOnly val="1"/>
    <c:dispBlanksAs val="zero"/>
    <c:showDLblsOverMax val="0"/>
  </c:chart>
  <c:spPr bwMode="auto">
    <a:xfrm>
      <a:off x="0" y="0"/>
      <a:ext cx="6480174" cy="2346552"/>
    </a:xfrm>
    <a:prstGeom prst="rect">
      <a:avLst/>
    </a:prstGeom>
    <a:solidFill>
      <a:schemeClr val="bg1"/>
    </a:solidFill>
    <a:ln w="9525" cap="flat" cmpd="sng" algn="ctr">
      <a:solidFill>
        <a:schemeClr val="bg1"/>
      </a:solidFill>
      <a:prstDash val="solid"/>
      <a:round/>
    </a:ln>
  </c:spPr>
  <c:txPr>
    <a:bodyPr rot="0" vert="horz"/>
    <a:lstStyle/>
    <a:p>
      <a:pPr>
        <a:defRPr sz="800">
          <a:solidFill>
            <a:schemeClr val="tx2"/>
          </a:solidFill>
          <a:latin typeface="+mn-lt"/>
          <a:ea typeface="+mn-ea"/>
          <a:cs typeface="+mn-cs"/>
        </a:defRPr>
      </a:pPr>
      <a:endParaRPr lang="ru-RU"/>
    </a:p>
  </c:txPr>
  <c:externalData r:id="rId3">
    <c:autoUpdate val="0"/>
  </c:externalData>
  <c:printSettings>
    <c:headerFooter/>
    <c:pageMargins l="0.69999999999999996" r="0.69999999999999996" t="0.75" b="0.75" header="0.29999999999999999" footer="0.29999999999999999"/>
    <c:pageSetup/>
  </c:printSettings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/>
  </cs:axisTitle>
  <cs:categoryAxis>
    <cs:lnRef idx="0"/>
    <cs:fillRef idx="0"/>
    <cs:effectRef idx="0"/>
    <cs:fontRef idx="minor">
      <a:schemeClr val="tx2"/>
    </cs:fontRef>
    <cs:spPr bwMode="auto">
      <a:prstGeom prst="rect">
        <a:avLst/>
      </a:prstGeom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/>
  </cs:categoryAxis>
  <cs:chartArea>
    <cs:lnRef idx="0"/>
    <cs:fillRef idx="0"/>
    <cs:effectRef idx="0"/>
    <cs:fontRef idx="minor">
      <a:schemeClr val="tx2"/>
    </cs:fontRef>
    <cs:spPr bwMode="auto">
      <a:prstGeom prst="rect">
        <a:avLst/>
      </a:prstGeom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/>
  </cs:chartArea>
  <cs:dataLabel>
    <cs:lnRef idx="0"/>
    <cs:fillRef idx="0"/>
    <cs:effectRef idx="0"/>
    <cs:fontRef idx="minor">
      <a:schemeClr val="tx2"/>
    </cs:fontRef>
    <cs:defRPr sz="900"/>
  </cs:dataLabel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 bwMode="auto">
      <a:prstGeom prst="rect">
        <a:avLst/>
      </a:prstGeom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 bwMode="auto">
      <a:prstGeom prst="rect">
        <a:avLst/>
      </a:prstGeom>
      <a:ln w="12700">
        <a:solidFill>
          <a:schemeClr val="lt2"/>
        </a:solidFill>
        <a:round/>
      </a:ln>
    </cs:spPr>
  </cs:dataPointMarker>
  <cs:dataPointWireframe>
    <cs:lnRef idx="0">
      <cs:styleClr val="auto"/>
    </cs:lnRef>
    <cs:fillRef idx="3"/>
    <cs:effectRef idx="2"/>
    <cs:fontRef idx="minor">
      <a:schemeClr val="tx2"/>
    </cs:fontRef>
    <cs:spPr bwMode="auto">
      <a:prstGeom prst="rect">
        <a:avLst/>
      </a:prstGeom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 bwMode="auto">
      <a:prstGeom prst="rect">
        <a:avLst/>
      </a:prstGeom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 bwMode="auto">
      <a:prstGeom prst="rect">
        <a:avLst/>
      </a:prstGeom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 bwMode="auto">
      <a:prstGeom prst="rect">
        <a:avLst/>
      </a:prstGeom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 bwMode="auto">
      <a:prstGeom prst="rect">
        <a:avLst/>
      </a:prstGeom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/>
  </cs:title>
  <cs:trendline>
    <cs:lnRef idx="0">
      <cs:styleClr val="auto"/>
    </cs:lnRef>
    <cs:fillRef idx="0"/>
    <cs:effectRef idx="0"/>
    <cs:fontRef idx="minor">
      <a:schemeClr val="tx2"/>
    </cs:fontRef>
    <cs:spPr bwMode="auto">
      <a:prstGeom prst="rect">
        <a:avLst/>
      </a:prstGeom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/>
  </cs:trendlineLabel>
  <cs:upBar>
    <cs:lnRef idx="0"/>
    <cs:fillRef idx="0"/>
    <cs:effectRef idx="0"/>
    <cs:fontRef idx="minor">
      <a:schemeClr val="tx2"/>
    </cs:fontRef>
    <cs:spPr bwMode="auto">
      <a:prstGeom prst="rect">
        <a:avLst/>
      </a:prstGeom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/>
  </cs:valueAxis>
  <cs:wall>
    <cs:lnRef idx="0"/>
    <cs:fillRef idx="0"/>
    <cs:effectRef idx="0"/>
    <cs:fontRef idx="minor">
      <a:schemeClr val="tx2"/>
    </cs:fontRef>
  </cs:wall>
  <cs:dataPointMarkerLayout symbol="circle" size="6"/>
</cs:chartStyle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Р7-Офис/7.4.0.93</Application>
  <Company>Hewlett-Packard Company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fys</dc:creator>
  <cp:revision>55</cp:revision>
  <dcterms:created xsi:type="dcterms:W3CDTF">2022-10-17T11:01:00Z</dcterms:created>
  <dcterms:modified xsi:type="dcterms:W3CDTF">2025-04-25T03:40:20Z</dcterms:modified>
  <cp:version>786432</cp:version>
</cp:coreProperties>
</file>