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21.04.2025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noWrap w:val="0"/>
            <w:tcMar>
              <w:right w:w="85" w:type="dxa"/>
            </w:tcMar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12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финансов </w:t>
      </w:r>
    </w:p>
    <w:p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Томской области от 21.02.2020 № 12</w:t>
      </w:r>
      <w:r>
        <w:rPr>
          <w:rFonts w:ascii="PT Astra Serif" w:hAnsi="PT Astra Serif" w:cs="Times New Roman"/>
          <w:sz w:val="28"/>
          <w:szCs w:val="28"/>
        </w:rPr>
        <w:t xml:space="preserve"> </w:t>
      </w: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</w:t>
      </w:r>
      <w:r>
        <w:rPr>
          <w:rFonts w:ascii="PT Astra Serif" w:hAnsi="PT Astra Serif" w:cs="Times New Roman"/>
          <w:sz w:val="28"/>
          <w:szCs w:val="28"/>
        </w:rPr>
        <w:t>целях</w:t>
      </w:r>
      <w:r>
        <w:rPr>
          <w:rFonts w:ascii="PT Astra Serif" w:hAnsi="PT Astra Serif" w:cs="Times New Roman"/>
          <w:sz w:val="28"/>
          <w:szCs w:val="28"/>
        </w:rPr>
        <w:t xml:space="preserve"> совершенствования нормативного правового акта,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Внести в Порядок проведения Департаментом финансов Томской области мониторинга качества финансового менеджмента, установленный </w:t>
      </w:r>
      <w:hyperlink r:id="rId4" w:tooltip="consultantplus://offline/ref=3883B2D62FB62D3063BCF09EE6EC20C2F12AA6BFA1F54E9A65B74D68F5D629FCW7w1F" w:history="1">
        <w:r>
          <w:rPr>
            <w:rFonts w:ascii="PT Astra Serif" w:hAnsi="PT Astra Serif"/>
            <w:sz w:val="28"/>
            <w:szCs w:val="28"/>
          </w:rPr>
          <w:t>приказ</w:t>
        </w:r>
      </w:hyperlink>
      <w:r>
        <w:rPr>
          <w:rFonts w:ascii="PT Astra Serif" w:hAnsi="PT Astra Serif"/>
          <w:sz w:val="28"/>
          <w:szCs w:val="28"/>
        </w:rPr>
        <w:t>ом Департамента финансов Томской области от 21.02.2020 № 12 «Об установлении Порядка проведения Департаментом финансов Томской области мониторинга качества финансового менеджмента» (</w:t>
      </w:r>
      <w:r>
        <w:rPr>
          <w:rFonts w:ascii="PT Astra Serif" w:hAnsi="PT Astra Serif" w:cs="PT Astra Serif"/>
          <w:sz w:val="28"/>
          <w:szCs w:val="28"/>
        </w:rPr>
        <w:t>Официальный интернет-портал правовой информации http://www.pravo.gov.ru, 25.02.2020, № 7001202002250002</w:t>
      </w:r>
      <w:r>
        <w:rPr>
          <w:rFonts w:ascii="PT Astra Serif" w:hAnsi="PT Astra Serif"/>
          <w:sz w:val="28"/>
          <w:szCs w:val="28"/>
        </w:rPr>
        <w:t>), следующие изменения:</w:t>
      </w:r>
    </w:p>
    <w:p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в абзаце втором пункта 1 слова «</w:t>
      </w:r>
      <w:r>
        <w:rPr>
          <w:rFonts w:ascii="PT Astra Serif" w:hAnsi="PT Astra Serif" w:cs="PT Astra Serif"/>
          <w:sz w:val="28"/>
          <w:szCs w:val="28"/>
        </w:rPr>
        <w:t>для осуществления государственных нужд» заменить словами «для обеспечения государственных нужд»;</w:t>
      </w:r>
      <w:r>
        <w:rPr>
          <w:rFonts w:ascii="PT Astra Serif" w:hAnsi="PT Astra Serif"/>
          <w:sz w:val="28"/>
          <w:szCs w:val="28"/>
        </w:rPr>
        <w:t xml:space="preserve"> </w:t>
      </w:r>
    </w:p>
    <w:p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в </w:t>
      </w:r>
      <w:r>
        <w:rPr>
          <w:rFonts w:ascii="PT Astra Serif" w:hAnsi="PT Astra Serif"/>
          <w:sz w:val="28"/>
          <w:szCs w:val="28"/>
        </w:rPr>
        <w:t>пункте</w:t>
      </w:r>
      <w:r>
        <w:rPr>
          <w:rFonts w:ascii="PT Astra Serif" w:hAnsi="PT Astra Serif"/>
          <w:sz w:val="28"/>
          <w:szCs w:val="28"/>
        </w:rPr>
        <w:t xml:space="preserve"> 6 слова «</w:t>
      </w:r>
      <w:r>
        <w:rPr>
          <w:rFonts w:ascii="PT Astra Serif" w:hAnsi="PT Astra Serif" w:cs="PT Astra Serif"/>
          <w:sz w:val="28"/>
          <w:szCs w:val="28"/>
        </w:rPr>
        <w:t>главные администраторы средств» заменить словами «главные администраторы»;</w:t>
      </w:r>
    </w:p>
    <w:p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3) пункты 1.2.1 и 1.2.2 приложения № 1 «Показатели для </w:t>
      </w:r>
      <w:r>
        <w:rPr>
          <w:rFonts w:ascii="PT Astra Serif" w:hAnsi="PT Astra Serif" w:cs="Arial"/>
          <w:sz w:val="28"/>
          <w:szCs w:val="28"/>
        </w:rPr>
        <w:t>оценки качества финансового менеджмента главных администраторов средств областного бюджета»</w:t>
      </w:r>
      <w:r>
        <w:rPr>
          <w:rFonts w:ascii="PT Astra Serif" w:hAnsi="PT Astra Serif"/>
          <w:sz w:val="28"/>
          <w:szCs w:val="28"/>
        </w:rPr>
        <w:t xml:space="preserve"> изложить</w:t>
      </w:r>
      <w:r>
        <w:rPr>
          <w:rFonts w:ascii="PT Astra Serif" w:hAnsi="PT Astra Serif" w:cs="Arial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в следующей редакции:</w:t>
      </w: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1"/>
        <w:gridCol w:w="2126"/>
        <w:gridCol w:w="3544"/>
        <w:gridCol w:w="567"/>
        <w:gridCol w:w="1701"/>
        <w:gridCol w:w="850"/>
      </w:tblGrid>
      <w:tr>
        <w:tblPrEx>
          <w:tblW w:w="9639" w:type="dxa"/>
          <w:tblInd w:w="6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851" w:type="dxa"/>
            <w:vMerge w:val="restart"/>
            <w:noWrap w:val="0"/>
            <w:textDirection w:val="lrTb"/>
          </w:tcPr>
          <w:p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«1.2.1</w:t>
            </w:r>
          </w:p>
        </w:tc>
        <w:tc>
          <w:tcPr>
            <w:tcW w:w="2126" w:type="dxa"/>
            <w:vMerge w:val="restart"/>
            <w:noWrap w:val="0"/>
            <w:textDirection w:val="lrTb"/>
          </w:tcPr>
          <w:p>
            <w:pPr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Изменения, вносимые в сводную бюджетную роспись в течение финансового года (за исключением изменений, вносимых по расходам:</w:t>
            </w:r>
          </w:p>
          <w:p>
            <w:pPr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1) за счет целевых межбюджетных трансфертов из федерального бюджета;</w:t>
            </w:r>
          </w:p>
          <w:p>
            <w:pPr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2) за счет резервных фондов Администрации </w:t>
            </w:r>
            <w:r>
              <w:rPr>
                <w:rFonts w:ascii="PT Astra Serif" w:hAnsi="PT Astra Serif" w:cs="Arial"/>
                <w:sz w:val="24"/>
                <w:szCs w:val="24"/>
              </w:rPr>
              <w:t>Томской области, доходов от платных услуг, оказываемых областными государственными казенными учреждениями, безвозмездных поступлений от физических и юридических лиц;</w:t>
            </w:r>
          </w:p>
          <w:p>
            <w:pPr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3) в </w:t>
            </w:r>
            <w:r>
              <w:rPr>
                <w:rFonts w:ascii="PT Astra Serif" w:hAnsi="PT Astra Serif" w:cs="Arial"/>
                <w:sz w:val="24"/>
                <w:szCs w:val="24"/>
              </w:rPr>
              <w:t>отношении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которых были установлены ограничения кассовых выплат;</w:t>
            </w:r>
          </w:p>
          <w:p>
            <w:pPr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4) </w:t>
            </w:r>
            <w:r>
              <w:rPr>
                <w:rFonts w:ascii="PT Astra Serif" w:hAnsi="PT Astra Serif" w:cs="Arial"/>
                <w:sz w:val="24"/>
                <w:szCs w:val="24"/>
              </w:rPr>
              <w:t>производимым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в целях исполнения судебных актов, предусматривающих обращение взыскания на средства областного бюджета;</w:t>
            </w:r>
          </w:p>
          <w:p>
            <w:pPr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5) на предоставление мер социальной поддержки участников  специальной военной операции и членов их семей, на оказание финансовой помощи Приазовскому  муниципальному округу Запорожской области в рамках соглашения с Администрацией Томской области</w:t>
            </w:r>
          </w:p>
          <w:p>
            <w:pPr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(далее - отдельные расходы), в </w:t>
            </w:r>
            <w:r>
              <w:rPr>
                <w:rFonts w:ascii="PT Astra Serif" w:hAnsi="PT Astra Serif" w:cs="Arial"/>
                <w:sz w:val="24"/>
                <w:szCs w:val="24"/>
              </w:rPr>
              <w:t>процентах</w:t>
            </w:r>
          </w:p>
        </w:tc>
        <w:tc>
          <w:tcPr>
            <w:tcW w:w="3544" w:type="dxa"/>
            <w:noWrap w:val="0"/>
            <w:textDirection w:val="lrTb"/>
          </w:tcPr>
          <w:p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А</w:t>
            </w:r>
            <w:r>
              <w:rPr>
                <w:rFonts w:ascii="PT Astra Serif" w:hAnsi="PT Astra Serif" w:cs="Arial"/>
                <w:sz w:val="24"/>
                <w:szCs w:val="24"/>
                <w:vertAlign w:val="subscript"/>
              </w:rPr>
              <w:t>1</w:t>
            </w:r>
            <w:r>
              <w:rPr>
                <w:rFonts w:ascii="PT Astra Serif" w:hAnsi="PT Astra Serif" w:cs="Arial"/>
                <w:sz w:val="24"/>
                <w:szCs w:val="24"/>
                <w:vertAlign w:val="subscript"/>
              </w:rPr>
              <w:t>.2.1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= </w:t>
            </w:r>
            <w:r>
              <w:rPr>
                <w:rFonts w:ascii="PT Astra Serif" w:hAnsi="PT Astra Serif" w:cs="Arial"/>
                <w:sz w:val="24"/>
                <w:szCs w:val="24"/>
              </w:rPr>
              <w:t>Р</w:t>
            </w:r>
            <w:r>
              <w:rPr>
                <w:rFonts w:ascii="PT Astra Serif" w:hAnsi="PT Astra Serif" w:cs="Arial"/>
                <w:sz w:val="24"/>
                <w:szCs w:val="24"/>
                <w:vertAlign w:val="subscript"/>
              </w:rPr>
              <w:t>изм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/ Р</w:t>
            </w:r>
            <w:r>
              <w:rPr>
                <w:rFonts w:ascii="PT Astra Serif" w:hAnsi="PT Astra Serif" w:cs="Arial"/>
                <w:sz w:val="24"/>
                <w:szCs w:val="24"/>
                <w:vertAlign w:val="subscript"/>
              </w:rPr>
              <w:t>ГРБС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>x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100, где:</w:t>
            </w:r>
          </w:p>
          <w:p>
            <w:pPr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А</w:t>
            </w:r>
            <w:r>
              <w:rPr>
                <w:rFonts w:ascii="PT Astra Serif" w:hAnsi="PT Astra Serif" w:cs="Arial"/>
                <w:sz w:val="24"/>
                <w:szCs w:val="24"/>
                <w:vertAlign w:val="subscript"/>
              </w:rPr>
              <w:t>1</w:t>
            </w:r>
            <w:r>
              <w:rPr>
                <w:rFonts w:ascii="PT Astra Serif" w:hAnsi="PT Astra Serif" w:cs="Arial"/>
                <w:sz w:val="24"/>
                <w:szCs w:val="24"/>
                <w:vertAlign w:val="subscript"/>
              </w:rPr>
              <w:t>.2.1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- доля расходов ГРБС, в отношении которых в течение отчетного года вносились изменения в сводную бюджетную роспись;</w:t>
            </w:r>
          </w:p>
          <w:p>
            <w:pPr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Р</w:t>
            </w:r>
            <w:r>
              <w:rPr>
                <w:rFonts w:ascii="PT Astra Serif" w:hAnsi="PT Astra Serif" w:cs="Arial"/>
                <w:sz w:val="24"/>
                <w:szCs w:val="24"/>
                <w:vertAlign w:val="subscript"/>
              </w:rPr>
              <w:t>изм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- объем бюджетных ассигнований, измененный по сводной бюджетной росписи в течение финансового года (за исключением изменений, вносимых по отдельным расходам);</w:t>
            </w:r>
          </w:p>
          <w:p>
            <w:pPr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Р</w:t>
            </w:r>
            <w:r>
              <w:rPr>
                <w:rFonts w:ascii="PT Astra Serif" w:hAnsi="PT Astra Serif" w:cs="Arial"/>
                <w:sz w:val="24"/>
                <w:szCs w:val="24"/>
                <w:vertAlign w:val="subscript"/>
              </w:rPr>
              <w:t>ГРБС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- общий объем бюджетных ассигнований ГРБС (за исключением отдельных расходов), утвержденных в первоначальной редакции закона </w:t>
            </w:r>
            <w:r>
              <w:rPr>
                <w:rFonts w:ascii="PT Astra Serif" w:hAnsi="PT Astra Serif" w:cs="Arial"/>
                <w:sz w:val="24"/>
                <w:szCs w:val="24"/>
              </w:rPr>
              <w:t>Томской области об областном бюджете на соответствующий финансовый год</w:t>
            </w:r>
          </w:p>
        </w:tc>
        <w:tc>
          <w:tcPr>
            <w:tcW w:w="567" w:type="dxa"/>
            <w:noWrap w:val="0"/>
            <w:textDirection w:val="lrTb"/>
          </w:tcPr>
          <w:p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noWrap w:val="0"/>
            <w:textDirection w:val="lrTb"/>
          </w:tcPr>
          <w:p>
            <w:pPr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Информация, находящаяся в </w:t>
            </w:r>
            <w:r>
              <w:rPr>
                <w:rFonts w:ascii="PT Astra Serif" w:hAnsi="PT Astra Serif" w:cs="Arial"/>
                <w:sz w:val="24"/>
                <w:szCs w:val="24"/>
              </w:rPr>
              <w:t>распоряжении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Департамента финансов Томской области</w:t>
            </w:r>
          </w:p>
        </w:tc>
        <w:tc>
          <w:tcPr>
            <w:tcW w:w="850" w:type="dxa"/>
            <w:vMerge w:val="restart"/>
            <w:noWrap w:val="0"/>
            <w:textDirection w:val="lrTb"/>
          </w:tcPr>
          <w:p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>
        <w:tblPrEx>
          <w:tblW w:w="9639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851" w:type="dxa"/>
            <w:vMerge/>
            <w:noWrap w:val="0"/>
            <w:textDirection w:val="lrTb"/>
          </w:tcPr>
          <w:p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2126" w:type="dxa"/>
            <w:vMerge/>
            <w:noWrap w:val="0"/>
            <w:textDirection w:val="lrTb"/>
          </w:tcPr>
          <w:p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3544" w:type="dxa"/>
            <w:noWrap w:val="0"/>
            <w:textDirection w:val="lrTb"/>
          </w:tcPr>
          <w:p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А</w:t>
            </w:r>
            <w:r>
              <w:rPr>
                <w:rFonts w:ascii="PT Astra Serif" w:hAnsi="PT Astra Serif" w:cs="Arial"/>
                <w:sz w:val="24"/>
                <w:szCs w:val="24"/>
                <w:vertAlign w:val="subscript"/>
              </w:rPr>
              <w:t>1</w:t>
            </w:r>
            <w:r>
              <w:rPr>
                <w:rFonts w:ascii="PT Astra Serif" w:hAnsi="PT Astra Serif" w:cs="Arial"/>
                <w:sz w:val="24"/>
                <w:szCs w:val="24"/>
                <w:vertAlign w:val="subscript"/>
              </w:rPr>
              <w:t>.2.1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- 10 процентов и менее</w:t>
            </w:r>
          </w:p>
        </w:tc>
        <w:tc>
          <w:tcPr>
            <w:tcW w:w="567" w:type="dxa"/>
            <w:noWrap w:val="0"/>
            <w:textDirection w:val="lrTb"/>
          </w:tcPr>
          <w:p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5</w:t>
            </w:r>
          </w:p>
        </w:tc>
        <w:tc>
          <w:tcPr>
            <w:tcW w:w="1701" w:type="dxa"/>
            <w:vMerge/>
            <w:noWrap w:val="0"/>
            <w:textDirection w:val="lrTb"/>
          </w:tcPr>
          <w:p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850" w:type="dxa"/>
            <w:vMerge/>
            <w:noWrap w:val="0"/>
            <w:textDirection w:val="lrTb"/>
          </w:tcPr>
          <w:p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>
        <w:tblPrEx>
          <w:tblW w:w="9639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851" w:type="dxa"/>
            <w:vMerge/>
            <w:noWrap w:val="0"/>
            <w:textDirection w:val="lrTb"/>
          </w:tcPr>
          <w:p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2126" w:type="dxa"/>
            <w:vMerge/>
            <w:noWrap w:val="0"/>
            <w:textDirection w:val="lrTb"/>
          </w:tcPr>
          <w:p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3544" w:type="dxa"/>
            <w:noWrap w:val="0"/>
            <w:textDirection w:val="lrTb"/>
          </w:tcPr>
          <w:p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А</w:t>
            </w:r>
            <w:r>
              <w:rPr>
                <w:rFonts w:ascii="PT Astra Serif" w:hAnsi="PT Astra Serif" w:cs="Arial"/>
                <w:sz w:val="24"/>
                <w:szCs w:val="24"/>
                <w:vertAlign w:val="subscript"/>
              </w:rPr>
              <w:t>1</w:t>
            </w:r>
            <w:r>
              <w:rPr>
                <w:rFonts w:ascii="PT Astra Serif" w:hAnsi="PT Astra Serif" w:cs="Arial"/>
                <w:sz w:val="24"/>
                <w:szCs w:val="24"/>
                <w:vertAlign w:val="subscript"/>
              </w:rPr>
              <w:t>.2.1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- более 10 процентов</w:t>
            </w:r>
          </w:p>
        </w:tc>
        <w:tc>
          <w:tcPr>
            <w:tcW w:w="567" w:type="dxa"/>
            <w:noWrap w:val="0"/>
            <w:textDirection w:val="lrTb"/>
          </w:tcPr>
          <w:p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0</w:t>
            </w:r>
          </w:p>
        </w:tc>
        <w:tc>
          <w:tcPr>
            <w:tcW w:w="1701" w:type="dxa"/>
            <w:vMerge/>
            <w:noWrap w:val="0"/>
            <w:textDirection w:val="lrTb"/>
          </w:tcPr>
          <w:p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850" w:type="dxa"/>
            <w:vMerge/>
            <w:noWrap w:val="0"/>
            <w:textDirection w:val="lrTb"/>
          </w:tcPr>
          <w:p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>
        <w:tblPrEx>
          <w:tblW w:w="9639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851" w:type="dxa"/>
            <w:vMerge w:val="restart"/>
            <w:noWrap w:val="0"/>
            <w:textDirection w:val="lrTb"/>
          </w:tcPr>
          <w:p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1.2.2</w:t>
            </w:r>
          </w:p>
        </w:tc>
        <w:tc>
          <w:tcPr>
            <w:tcW w:w="2126" w:type="dxa"/>
            <w:vMerge w:val="restart"/>
            <w:noWrap w:val="0"/>
            <w:textDirection w:val="lrTb"/>
          </w:tcPr>
          <w:p>
            <w:pPr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Равномерность расходов, в </w:t>
            </w:r>
            <w:r>
              <w:rPr>
                <w:rFonts w:ascii="PT Astra Serif" w:hAnsi="PT Astra Serif" w:cs="Arial"/>
                <w:sz w:val="24"/>
                <w:szCs w:val="24"/>
              </w:rPr>
              <w:t>процентах</w:t>
            </w:r>
          </w:p>
        </w:tc>
        <w:tc>
          <w:tcPr>
            <w:tcW w:w="3544" w:type="dxa"/>
            <w:noWrap w:val="0"/>
            <w:textDirection w:val="lrTb"/>
          </w:tcPr>
          <w:p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А</w:t>
            </w:r>
            <w:r>
              <w:rPr>
                <w:rFonts w:ascii="PT Astra Serif" w:hAnsi="PT Astra Serif" w:cs="Arial"/>
                <w:sz w:val="24"/>
                <w:szCs w:val="24"/>
                <w:vertAlign w:val="subscript"/>
              </w:rPr>
              <w:t>1</w:t>
            </w:r>
            <w:r>
              <w:rPr>
                <w:rFonts w:ascii="PT Astra Serif" w:hAnsi="PT Astra Serif" w:cs="Arial"/>
                <w:sz w:val="24"/>
                <w:szCs w:val="24"/>
                <w:vertAlign w:val="subscript"/>
              </w:rPr>
              <w:t>.2.2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= Р</w:t>
            </w:r>
            <w:r>
              <w:rPr>
                <w:rFonts w:ascii="PT Astra Serif" w:hAnsi="PT Astra Serif" w:cs="Arial"/>
                <w:sz w:val="24"/>
                <w:szCs w:val="24"/>
                <w:vertAlign w:val="subscript"/>
              </w:rPr>
              <w:t>4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/ </w:t>
            </w:r>
            <w:r>
              <w:rPr>
                <w:rFonts w:ascii="PT Astra Serif" w:hAnsi="PT Astra Serif" w:cs="Arial"/>
                <w:sz w:val="24"/>
                <w:szCs w:val="24"/>
              </w:rPr>
              <w:t>Р</w:t>
            </w:r>
            <w:r>
              <w:rPr>
                <w:rFonts w:ascii="PT Astra Serif" w:hAnsi="PT Astra Serif" w:cs="Arial"/>
                <w:sz w:val="24"/>
                <w:szCs w:val="24"/>
                <w:vertAlign w:val="subscript"/>
              </w:rPr>
              <w:t>общ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>x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100, где:</w:t>
            </w:r>
          </w:p>
          <w:p>
            <w:pPr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Р</w:t>
            </w:r>
            <w:r>
              <w:rPr>
                <w:rFonts w:ascii="PT Astra Serif" w:hAnsi="PT Astra Serif" w:cs="Arial"/>
                <w:sz w:val="24"/>
                <w:szCs w:val="24"/>
                <w:vertAlign w:val="subscript"/>
              </w:rPr>
              <w:t>4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- кассовые расходы ГРБС в 4-</w:t>
            </w:r>
            <w:r>
              <w:rPr>
                <w:rFonts w:ascii="PT Astra Serif" w:hAnsi="PT Astra Serif" w:cs="Arial"/>
                <w:sz w:val="24"/>
                <w:szCs w:val="24"/>
              </w:rPr>
              <w:t>м квартале отчетного финансового года (за исключением расходов на осуществление бюджетных инвестиций, расходов, осуществляемых за счет межбюджетных трансфертов из федерального бюджета, расходов, в отношении которых установлено</w:t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theme="minorBidi"/>
                <w:color w:val="000000" w:themeColor="text1"/>
                <w:sz w:val="24"/>
                <w:szCs w:val="24"/>
              </w:rPr>
              <w:t xml:space="preserve">ограничение кассовых выплат, расходов на обслуживание государственного долга Томской области, расходов на предоставление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дотаций из областного бюджета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на поддержку мер по обеспечению сбалансированности местных бюджетов за счёт перераспределения с других направлений расходов в соответствии с постановлениями Администрации Томской области о внесении изменений в сводную бюджетную роспись областного бюджета);</w:t>
            </w:r>
          </w:p>
          <w:p>
            <w:pPr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</w:rPr>
              <w:t>Р</w:t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vertAlign w:val="subscript"/>
              </w:rPr>
              <w:t>общ</w:t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</w:rPr>
              <w:t xml:space="preserve"> - кассовые расходы ГРБС за отчетный финансовый год (за исключением расходов на осуществление бюджетных инвестиций, </w:t>
            </w:r>
            <w:r>
              <w:rPr>
                <w:rFonts w:ascii="PT Astra Serif" w:hAnsi="PT Astra Serif" w:cs="Arial"/>
                <w:sz w:val="24"/>
                <w:szCs w:val="24"/>
              </w:rPr>
              <w:t>расходов, осуществляемых за счет межбюджетных трансфертов из федерального бюджета</w:t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</w:rPr>
              <w:t xml:space="preserve">, расходов, в отношении которых установлено ограничение кассовых выплат, расходов на обслуживание государственного долга Томской области, </w:t>
            </w:r>
            <w:r>
              <w:rPr>
                <w:rFonts w:ascii="PT Astra Serif" w:hAnsi="PT Astra Serif" w:cstheme="minorBidi"/>
                <w:color w:val="000000" w:themeColor="text1"/>
                <w:sz w:val="24"/>
                <w:szCs w:val="24"/>
              </w:rPr>
              <w:t xml:space="preserve">расходов на предоставление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дотаций из областного бюджета на поддержку мер по обеспечению сбалансированности местных бюджетов за счёт перераспределения с других направлений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расходов в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соответствии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с постановлениями Администрации Томской области о внесении изменений в сводную бюджетную роспись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областного бюджета</w:t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567" w:type="dxa"/>
            <w:noWrap w:val="0"/>
            <w:textDirection w:val="lrTb"/>
          </w:tcPr>
          <w:p>
            <w:pPr>
              <w:outlineLvl w:val="0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noWrap w:val="0"/>
            <w:textDirection w:val="lrTb"/>
          </w:tcPr>
          <w:p>
            <w:pPr>
              <w:outlineLvl w:val="0"/>
              <w:rPr>
                <w:rFonts w:ascii="PT Astra Serif" w:hAnsi="PT Astra Serif" w:cs="PT Astra Serif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Информация, находящаяся в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распоряжении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Департамента финансов Томской области».</w:t>
            </w:r>
          </w:p>
        </w:tc>
        <w:tc>
          <w:tcPr>
            <w:tcW w:w="850" w:type="dxa"/>
            <w:vMerge w:val="restart"/>
            <w:noWrap w:val="0"/>
            <w:textDirection w:val="lrTb"/>
          </w:tcPr>
          <w:p>
            <w:pPr>
              <w:outlineLvl w:val="0"/>
              <w:rPr>
                <w:rFonts w:ascii="PT Astra Serif" w:hAnsi="PT Astra Serif" w:cs="PT Astra Serif"/>
                <w:b/>
                <w:bCs/>
                <w:color w:val="FF0000"/>
                <w:sz w:val="24"/>
                <w:szCs w:val="24"/>
              </w:rPr>
            </w:pPr>
          </w:p>
        </w:tc>
      </w:tr>
      <w:tr>
        <w:tblPrEx>
          <w:tblW w:w="9639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851" w:type="dxa"/>
            <w:vMerge/>
            <w:noWrap w:val="0"/>
            <w:textDirection w:val="lrTb"/>
          </w:tcPr>
          <w:p>
            <w:pPr>
              <w:outlineLvl w:val="0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vMerge/>
            <w:noWrap w:val="0"/>
            <w:textDirection w:val="lrTb"/>
          </w:tcPr>
          <w:p>
            <w:pPr>
              <w:outlineLvl w:val="0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  <w:noWrap w:val="0"/>
            <w:textDirection w:val="lrTb"/>
          </w:tcPr>
          <w:p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А</w:t>
            </w:r>
            <w:r>
              <w:rPr>
                <w:rFonts w:ascii="PT Astra Serif" w:hAnsi="PT Astra Serif" w:cs="Arial"/>
                <w:sz w:val="24"/>
                <w:szCs w:val="24"/>
                <w:vertAlign w:val="subscript"/>
              </w:rPr>
              <w:t>1</w:t>
            </w:r>
            <w:r>
              <w:rPr>
                <w:rFonts w:ascii="PT Astra Serif" w:hAnsi="PT Astra Serif" w:cs="Arial"/>
                <w:sz w:val="24"/>
                <w:szCs w:val="24"/>
                <w:vertAlign w:val="subscript"/>
              </w:rPr>
              <w:t>.2.2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- 30 процентов и менее</w:t>
            </w:r>
          </w:p>
        </w:tc>
        <w:tc>
          <w:tcPr>
            <w:tcW w:w="567" w:type="dxa"/>
            <w:noWrap w:val="0"/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5</w:t>
            </w:r>
          </w:p>
        </w:tc>
        <w:tc>
          <w:tcPr>
            <w:tcW w:w="1701" w:type="dxa"/>
            <w:vMerge/>
            <w:noWrap w:val="0"/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bCs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vMerge/>
            <w:noWrap w:val="0"/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bCs/>
                <w:color w:val="FF0000"/>
                <w:sz w:val="24"/>
                <w:szCs w:val="24"/>
              </w:rPr>
            </w:pPr>
          </w:p>
        </w:tc>
      </w:tr>
      <w:tr>
        <w:tblPrEx>
          <w:tblW w:w="9639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851" w:type="dxa"/>
            <w:vMerge/>
            <w:noWrap w:val="0"/>
            <w:textDirection w:val="lrTb"/>
          </w:tcPr>
          <w:p>
            <w:pPr>
              <w:outlineLvl w:val="0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vMerge/>
            <w:noWrap w:val="0"/>
            <w:textDirection w:val="lrTb"/>
          </w:tcPr>
          <w:p>
            <w:pPr>
              <w:outlineLvl w:val="0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  <w:noWrap w:val="0"/>
            <w:textDirection w:val="lrTb"/>
          </w:tcPr>
          <w:p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А</w:t>
            </w:r>
            <w:r>
              <w:rPr>
                <w:rFonts w:ascii="PT Astra Serif" w:hAnsi="PT Astra Serif" w:cs="Arial"/>
                <w:sz w:val="24"/>
                <w:szCs w:val="24"/>
                <w:vertAlign w:val="subscript"/>
              </w:rPr>
              <w:t>1</w:t>
            </w:r>
            <w:r>
              <w:rPr>
                <w:rFonts w:ascii="PT Astra Serif" w:hAnsi="PT Astra Serif" w:cs="Arial"/>
                <w:sz w:val="24"/>
                <w:szCs w:val="24"/>
                <w:vertAlign w:val="subscript"/>
              </w:rPr>
              <w:t>.2.2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- свыше 30 процентов до 35 процентов (включительно)</w:t>
            </w:r>
          </w:p>
        </w:tc>
        <w:tc>
          <w:tcPr>
            <w:tcW w:w="567" w:type="dxa"/>
            <w:noWrap w:val="0"/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3</w:t>
            </w:r>
          </w:p>
        </w:tc>
        <w:tc>
          <w:tcPr>
            <w:tcW w:w="1701" w:type="dxa"/>
            <w:vMerge/>
            <w:noWrap w:val="0"/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bCs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vMerge/>
            <w:noWrap w:val="0"/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bCs/>
                <w:color w:val="FF0000"/>
                <w:sz w:val="24"/>
                <w:szCs w:val="24"/>
              </w:rPr>
            </w:pPr>
          </w:p>
        </w:tc>
      </w:tr>
      <w:tr>
        <w:tblPrEx>
          <w:tblW w:w="9639" w:type="dxa"/>
          <w:tblInd w:w="62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851" w:type="dxa"/>
            <w:vMerge/>
            <w:noWrap w:val="0"/>
            <w:textDirection w:val="lrTb"/>
          </w:tcPr>
          <w:p>
            <w:pPr>
              <w:outlineLvl w:val="0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vMerge/>
            <w:noWrap w:val="0"/>
            <w:textDirection w:val="lrTb"/>
          </w:tcPr>
          <w:p>
            <w:pPr>
              <w:outlineLvl w:val="0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  <w:noWrap w:val="0"/>
            <w:textDirection w:val="lrTb"/>
          </w:tcPr>
          <w:p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А</w:t>
            </w:r>
            <w:r>
              <w:rPr>
                <w:rFonts w:ascii="PT Astra Serif" w:hAnsi="PT Astra Serif" w:cs="Arial"/>
                <w:sz w:val="24"/>
                <w:szCs w:val="24"/>
                <w:vertAlign w:val="subscript"/>
              </w:rPr>
              <w:t>1</w:t>
            </w:r>
            <w:r>
              <w:rPr>
                <w:rFonts w:ascii="PT Astra Serif" w:hAnsi="PT Astra Serif" w:cs="Arial"/>
                <w:sz w:val="24"/>
                <w:szCs w:val="24"/>
                <w:vertAlign w:val="subscript"/>
              </w:rPr>
              <w:t>.2.2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- более 35 процентов</w:t>
            </w:r>
          </w:p>
        </w:tc>
        <w:tc>
          <w:tcPr>
            <w:tcW w:w="567" w:type="dxa"/>
            <w:noWrap w:val="0"/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0</w:t>
            </w:r>
          </w:p>
        </w:tc>
        <w:tc>
          <w:tcPr>
            <w:tcW w:w="1701" w:type="dxa"/>
            <w:vMerge/>
            <w:noWrap w:val="0"/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bCs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vMerge/>
            <w:noWrap w:val="0"/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bCs/>
                <w:color w:val="FF0000"/>
                <w:sz w:val="24"/>
                <w:szCs w:val="24"/>
              </w:rPr>
            </w:pPr>
          </w:p>
        </w:tc>
      </w:tr>
    </w:tbl>
    <w:p>
      <w:pPr>
        <w:pStyle w:val="ListParagraph"/>
        <w:tabs>
          <w:tab w:val="left" w:pos="-2127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 xml:space="preserve">. Настоящий приказ вступает в силу со дня </w:t>
      </w:r>
      <w:r>
        <w:rPr>
          <w:rFonts w:ascii="PT Astra Serif" w:hAnsi="PT Astra Serif"/>
          <w:sz w:val="28"/>
          <w:szCs w:val="28"/>
        </w:rPr>
        <w:t xml:space="preserve">его </w:t>
      </w:r>
      <w:r>
        <w:rPr>
          <w:rFonts w:ascii="PT Astra Serif" w:hAnsi="PT Astra Serif"/>
          <w:sz w:val="28"/>
          <w:szCs w:val="28"/>
        </w:rPr>
        <w:t>официального опубликования</w:t>
      </w:r>
      <w:r>
        <w:rPr>
          <w:rFonts w:ascii="PT Astra Serif" w:hAnsi="PT Astra Serif"/>
          <w:sz w:val="28"/>
          <w:szCs w:val="28"/>
        </w:rPr>
        <w:t xml:space="preserve"> и применяется, начиная с проведения </w:t>
      </w:r>
      <w:r>
        <w:rPr>
          <w:rFonts w:ascii="PT Astra Serif" w:hAnsi="PT Astra Serif"/>
          <w:sz w:val="28"/>
          <w:szCs w:val="28"/>
        </w:rPr>
        <w:t xml:space="preserve">мониторинга </w:t>
      </w:r>
      <w:r>
        <w:rPr>
          <w:rFonts w:ascii="PT Astra Serif" w:hAnsi="PT Astra Serif" w:cs="Arial"/>
          <w:sz w:val="28"/>
          <w:szCs w:val="28"/>
        </w:rPr>
        <w:t>качества финансового менеджмента главных администраторов</w:t>
      </w:r>
      <w:r>
        <w:rPr>
          <w:rFonts w:ascii="PT Astra Serif" w:hAnsi="PT Astra Serif" w:cs="Arial"/>
          <w:sz w:val="28"/>
          <w:szCs w:val="28"/>
        </w:rPr>
        <w:t xml:space="preserve"> бюджетных</w:t>
      </w:r>
      <w:r>
        <w:rPr>
          <w:rFonts w:ascii="PT Astra Serif" w:hAnsi="PT Astra Serif" w:cs="Arial"/>
          <w:sz w:val="28"/>
          <w:szCs w:val="28"/>
        </w:rPr>
        <w:t xml:space="preserve"> средств</w:t>
      </w:r>
      <w:r>
        <w:rPr>
          <w:rFonts w:ascii="PT Astra Serif" w:hAnsi="PT Astra Serif" w:cs="Arial"/>
          <w:sz w:val="28"/>
          <w:szCs w:val="28"/>
        </w:rPr>
        <w:t xml:space="preserve"> по итогам 2024 года</w:t>
      </w:r>
      <w:r>
        <w:rPr>
          <w:rFonts w:ascii="PT Astra Serif" w:hAnsi="PT Astra Serif"/>
          <w:sz w:val="28"/>
          <w:szCs w:val="28"/>
        </w:rPr>
        <w:t>.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ayout w:type="fixed"/>
        <w:tblLook w:val="04A0"/>
      </w:tblPr>
      <w:tblGrid>
        <w:gridCol w:w="3543"/>
        <w:gridCol w:w="3118"/>
        <w:gridCol w:w="3228"/>
      </w:tblGrid>
      <w:tr>
        <w:tblPrEx>
          <w:tblW w:w="9889" w:type="dxa"/>
          <w:tblLayout w:type="fixed"/>
          <w:tblLook w:val="04A0"/>
        </w:tblPrEx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both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Заместитель Губернатора Томской области -</w:t>
            </w:r>
          </w:p>
          <w:p>
            <w:pPr>
              <w:tabs>
                <w:tab w:val="left" w:pos="7088"/>
              </w:tabs>
              <w:jc w:val="both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 Департамента финансов Томской области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228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  <w:vAlign w:val="bottom"/>
          </w:tcPr>
          <w:p>
            <w:pPr>
              <w:tabs>
                <w:tab w:val="left" w:pos="7088"/>
              </w:tabs>
              <w:jc w:val="right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А.М. Феденёв</w:t>
            </w:r>
          </w:p>
        </w:tc>
      </w:tr>
    </w:tbl>
    <w:p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sectPr>
      <w:headerReference w:type="default" r:id="rId5"/>
      <w:headerReference w:type="first" r:id="rId6"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b w:val="0"/>
        <w:bCs w:val="0"/>
        <w:sz w:val="28"/>
        <w:szCs w:val="28"/>
      </w:rPr>
      <w:fldChar w:fldCharType="begin"/>
    </w:r>
    <w:r>
      <w:rPr>
        <w:rFonts w:ascii="PT Astra Serif" w:hAnsi="PT Astra Serif"/>
        <w:b w:val="0"/>
        <w:bCs w:val="0"/>
        <w:sz w:val="28"/>
        <w:szCs w:val="28"/>
      </w:rPr>
      <w:instrText xml:space="preserve"> PAGE   \* MERGEFORMAT </w:instrText>
    </w:r>
    <w:r>
      <w:rPr>
        <w:rFonts w:ascii="PT Astra Serif" w:hAnsi="PT Astra Serif"/>
        <w:b w:val="0"/>
        <w:bCs w:val="0"/>
        <w:sz w:val="28"/>
        <w:szCs w:val="28"/>
      </w:rPr>
      <w:fldChar w:fldCharType="separate"/>
    </w:r>
    <w:r>
      <w:rPr>
        <w:rFonts w:ascii="PT Astra Serif" w:hAnsi="PT Astra Serif"/>
        <w:b w:val="0"/>
        <w:bCs w:val="0"/>
        <w:sz w:val="28"/>
        <w:szCs w:val="28"/>
      </w:rPr>
      <w:t>2</w:t>
    </w:r>
    <w:r>
      <w:rPr>
        <w:rFonts w:ascii="PT Astra Serif" w:hAnsi="PT Astra Serif"/>
        <w:b w:val="0"/>
        <w:bCs w:val="0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lang w:eastAsia="ru-RU" w:bidi="ar-SA"/>
      </w:rPr>
      <w:drawing>
        <wp:inline distT="0" distB="0" distL="0" distR="0">
          <wp:extent cx="675640" cy="620395"/>
          <wp:effectExtent l="0" t="0" r="0" b="0"/>
          <wp:docPr id="1" name="_x0000_i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620395"/>
                  </a:xfrm>
                  <a:prstGeom prst="rect">
                    <a:avLst/>
                  </a:prstGeom>
                  <a:noFill/>
                  <a:ln>
                    <a:noFill/>
                    <a:round/>
                  </a:ln>
                </pic:spPr>
              </pic:pic>
            </a:graphicData>
          </a:graphic>
        </wp:inline>
      </w:drawing>
    </w:r>
  </w:p>
  <w:p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финансов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character" w:customStyle="1" w:styleId="QuoteChar">
    <w:name w:val="Quote Char"/>
    <w:link w:val="Quote"/>
    <w:uiPriority w:val="29"/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CaptionChar">
    <w:name w:val="Caption Char"/>
    <w:link w:val="Footer"/>
    <w:uiPriority w:val="99"/>
  </w:style>
  <w:style w:type="table" w:customStyle="1" w:styleId="PlainTable1">
    <w:name w:val="Plain Table 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2F2F2" w:fill="auto" w:themeColor="text1" w:themeTint="00"/>
      </w:tcPr>
    </w:tblStylePr>
    <w:tblStylePr w:type="band1Vert">
      <w:tblPr/>
      <w:tcPr>
        <w:shd w:val="clear" w:color="F2F2F2" w:fill="auto" w:themeColor="text1" w:theme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customStyle="1" w:styleId="PlainTable2">
    <w:name w:val="Plain Table 2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customStyle="1" w:styleId="PlainTable3">
    <w:name w:val="Plain Table 3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0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customStyle="1" w:styleId="PlainTable4">
    <w:name w:val="Plain Table 4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PlainTable5">
    <w:name w:val="Plain Table 5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0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customStyle="1" w:styleId="GridTable1Light">
    <w:name w:val="Grid Table 1 Light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2">
    <w:name w:val="Grid Table 2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">
    <w:name w:val="Grid Table 3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4">
    <w:name w:val="Grid Table 4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5Dark">
    <w:name w:val="Grid Table 5 Dark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8A8A8A" w:fill="auto" w:themeColor="text1" w:themeTint="75"/>
      </w:tcPr>
    </w:tblStylePr>
    <w:tblStylePr w:type="band1Vert">
      <w:tblPr/>
      <w:tcPr>
        <w:shd w:val="clear" w:color="8A8A8A" w:fill="auto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</w:style>
  <w:style w:type="table" w:customStyle="1" w:styleId="GridTable6Colorful">
    <w:name w:val="Grid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1Vert"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rPr>
        <w:b/>
        <w:color w:val="7F7F7F" w:themeColor="text1" w:themeShade="95" w:themeTint="80"/>
      </w:rPr>
    </w:tblStyle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Col">
      <w:rPr>
        <w:b/>
        <w:color w:val="7F7F7F" w:themeColor="text1" w:themeShade="95" w:themeTint="80"/>
      </w:rPr>
    </w:tblStylePr>
    <w:tblStylePr w:type="lastRow">
      <w:rPr>
        <w:b/>
        <w:color w:val="7F7F7F" w:themeColor="text1" w:themeShade="95" w:themeTint="80"/>
      </w:rPr>
    </w:tblStylePr>
  </w:style>
  <w:style w:type="table" w:customStyle="1" w:styleId="GridTable7Colorful">
    <w:name w:val="Grid Table 7 Colorful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0"/>
      </w:tcPr>
    </w:tblStylePr>
    <w:tblStylePr w:type="band1Vert">
      <w:tblPr/>
      <w:tcPr>
        <w:shd w:val="clear" w:color="F2F2F2" w:fill="auto" w:themeColor="text1" w:themeTint="0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</w:style>
  <w:style w:type="table" w:customStyle="1" w:styleId="ListTable1Light">
    <w:name w:val="List Table 1 Light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2">
    <w:name w:val="List Table 2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</w:style>
  <w:style w:type="table" w:customStyle="1" w:styleId="ListTable3">
    <w:name w:val="List Table 3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">
    <w:name w:val="List Table 4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5Dark">
    <w:name w:val="List Table 5 Dark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6Colorful">
    <w:name w:val="List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</w:style>
  <w:style w:type="table" w:customStyle="1" w:styleId="ListTable7Colorful">
    <w:name w:val="List Table 7 Colorful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paragraph" w:customStyle="1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customStyle="1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customStyle="1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customStyle="1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consultantplus://offline/ref=3883B2D62FB62D3063BCF09EE6EC20C2F12AA6BFA1F54E9A65B74D68F5D629FCW7w1F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3</cp:revision>
  <dcterms:created xsi:type="dcterms:W3CDTF">2025-04-17T08:52:00Z</dcterms:created>
  <dcterms:modified xsi:type="dcterms:W3CDTF">2025-04-17T09:14:00Z</dcterms:modified>
</cp:coreProperties>
</file>