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3.0 -->
  <w:body>
    <w:tbl>
      <w:tblPr>
        <w:tblW w:w="9638" w:type="dxa"/>
        <w:tblBorders>
          <w:bottom w:val="single" w:sz="4" w:space="0" w:color="auto"/>
        </w:tblBorders>
        <w:tblLayout w:type="fixed"/>
        <w:tblCellMar>
          <w:left w:w="0" w:type="dxa"/>
          <w:right w:w="0" w:type="dxa"/>
        </w:tblCellMar>
        <w:tblLook w:val="04A0"/>
      </w:tblPr>
      <w:tblGrid>
        <w:gridCol w:w="1701"/>
        <w:gridCol w:w="5669"/>
        <w:gridCol w:w="2268"/>
      </w:tblGrid>
      <w:tr>
        <w:tblPrEx>
          <w:tblW w:w="9638" w:type="dxa"/>
          <w:tblBorders>
            <w:bottom w:val="single" w:sz="4" w:space="0" w:color="auto"/>
          </w:tblBorders>
          <w:tblLayout w:type="fixed"/>
          <w:tblCellMar>
            <w:left w:w="0" w:type="dxa"/>
            <w:right w:w="0" w:type="dxa"/>
          </w:tblCellMar>
          <w:tblLook w:val="04A0"/>
        </w:tblPrEx>
        <w:tc>
          <w:tcPr>
            <w:tcW w:w="1701" w:type="dxa"/>
            <w:tcBorders>
              <w:bottom w:val="nil"/>
            </w:tcBorders>
            <w:noWrap w:val="0"/>
            <w:textDirection w:val="lrTb"/>
          </w:tcPr>
          <w:p>
            <w:pPr>
              <w:pStyle w:val="BodyText2"/>
              <w:pBdr>
                <w:top w:val="nil"/>
                <w:left w:val="nil"/>
                <w:bottom w:val="nil"/>
                <w:right w:val="nil"/>
                <w:between w:val="nil"/>
              </w:pBdr>
              <w:spacing w:before="480"/>
              <w:ind w:right="0"/>
              <w:jc w:val="left"/>
              <w:rPr>
                <w:rFonts w:ascii="PT Astra Serif" w:eastAsia="PT Astra Serif" w:hAnsi="PT Astra Serif" w:cs="PT Astra Serif"/>
                <w:sz w:val="28"/>
                <w:szCs w:val="28"/>
              </w:rPr>
            </w:pPr>
            <w:bookmarkStart w:id="0" w:name="РегДанные"/>
            <w:r>
              <w:rPr>
                <w:rFonts w:ascii="PT Astra Serif" w:eastAsia="PT Astra Serif" w:hAnsi="PT Astra Serif" w:cs="PT Astra Serif"/>
                <w:spacing w:val="20"/>
                <w:sz w:val="28"/>
                <w:szCs w:val="28"/>
              </w:rPr>
              <w:t>20.03.2025</w:t>
            </w:r>
            <w:r>
              <w:rPr>
                <w:rFonts w:ascii="PT Astra Serif" w:eastAsia="PT Astra Serif" w:hAnsi="PT Astra Serif" w:cs="PT Astra Serif"/>
                <w:spacing w:val="20"/>
                <w:sz w:val="28"/>
                <w:szCs w:val="28"/>
              </w:rPr>
              <w:fldChar w:fldCharType="begin"/>
            </w:r>
            <w:r>
              <w:rPr>
                <w:rFonts w:ascii="PT Astra Serif" w:eastAsia="PT Astra Serif" w:hAnsi="PT Astra Serif" w:cs="PT Astra Serif"/>
                <w:spacing w:val="20"/>
                <w:sz w:val="28"/>
                <w:szCs w:val="28"/>
              </w:rPr>
              <w:instrText xml:space="preserve"> FORMTEXT </w:instrText>
            </w:r>
            <w:r>
              <w:rPr>
                <w:rFonts w:ascii="PT Astra Serif" w:eastAsia="PT Astra Serif" w:hAnsi="PT Astra Serif" w:cs="PT Astra Serif"/>
                <w:spacing w:val="20"/>
                <w:sz w:val="28"/>
                <w:szCs w:val="28"/>
              </w:rPr>
              <w:fldChar w:fldCharType="separate"/>
            </w:r>
            <w:r>
              <w:rPr>
                <w:rFonts w:ascii="PT Astra Serif" w:eastAsia="PT Astra Serif" w:hAnsi="PT Astra Serif" w:cs="PT Astra Serif"/>
                <w:spacing w:val="20"/>
                <w:sz w:val="28"/>
                <w:szCs w:val="28"/>
              </w:rPr>
              <w:fldChar w:fldCharType="end"/>
            </w:r>
            <w:bookmarkEnd w:id="0"/>
          </w:p>
        </w:tc>
        <w:tc>
          <w:tcPr>
            <w:tcW w:w="5669" w:type="dxa"/>
            <w:tcBorders>
              <w:bottom w:val="nil"/>
            </w:tcBorders>
            <w:noWrap w:val="0"/>
            <w:tcMar>
              <w:right w:w="85" w:type="dxa"/>
            </w:tcMar>
            <w:textDirection w:val="lrTb"/>
          </w:tcPr>
          <w:p>
            <w:pPr>
              <w:pStyle w:val="BodyText2"/>
              <w:pBdr>
                <w:top w:val="nil"/>
                <w:left w:val="nil"/>
                <w:bottom w:val="nil"/>
                <w:right w:val="nil"/>
                <w:between w:val="nil"/>
              </w:pBdr>
              <w:spacing w:before="480"/>
              <w:ind w:right="0"/>
              <w:jc w:val="right"/>
              <w:rPr>
                <w:rFonts w:ascii="PT Astra Serif" w:eastAsia="PT Astra Serif" w:hAnsi="PT Astra Serif" w:cs="PT Astra Serif"/>
                <w:sz w:val="28"/>
                <w:szCs w:val="28"/>
              </w:rPr>
            </w:pPr>
          </w:p>
        </w:tc>
        <w:tc>
          <w:tcPr>
            <w:tcW w:w="2268" w:type="dxa"/>
            <w:tcBorders>
              <w:bottom w:val="nil"/>
            </w:tcBorders>
            <w:noWrap w:val="0"/>
            <w:textDirection w:val="lrTb"/>
          </w:tcPr>
          <w:p>
            <w:pPr>
              <w:pStyle w:val="BodyText2"/>
              <w:pBdr>
                <w:top w:val="nil"/>
                <w:left w:val="nil"/>
                <w:bottom w:val="nil"/>
                <w:right w:val="nil"/>
                <w:between w:val="nil"/>
              </w:pBdr>
              <w:spacing w:before="480"/>
              <w:ind w:right="0"/>
              <w:jc w:val="right"/>
              <w:rPr>
                <w:rFonts w:ascii="PT Astra Serif" w:eastAsia="PT Astra Serif" w:hAnsi="PT Astra Serif" w:cs="PT Astra Serif"/>
                <w:sz w:val="28"/>
                <w:szCs w:val="28"/>
              </w:rPr>
            </w:pPr>
            <w:bookmarkStart w:id="1" w:name="РегНомер"/>
            <w:r>
              <w:rPr>
                <w:rFonts w:ascii="PT Astra Serif" w:eastAsia="PT Astra Serif" w:hAnsi="PT Astra Serif" w:cs="PT Astra Serif"/>
                <w:sz w:val="28"/>
                <w:szCs w:val="28"/>
              </w:rPr>
              <w:t>№</w:t>
            </w:r>
            <w:r>
              <w:rPr>
                <w:rFonts w:ascii="PT Astra Serif" w:eastAsia="PT Astra Serif" w:hAnsi="PT Astra Serif" w:cs="PT Astra Serif"/>
                <w:sz w:val="28"/>
                <w:szCs w:val="28"/>
                <w:lang w:val="en-US"/>
              </w:rPr>
              <w:t xml:space="preserve"> </w:t>
            </w:r>
            <w:r>
              <w:rPr>
                <w:rFonts w:ascii="PT Astra Serif" w:eastAsia="PT Astra Serif" w:hAnsi="PT Astra Serif" w:cs="PT Astra Serif"/>
                <w:spacing w:val="20"/>
                <w:sz w:val="28"/>
                <w:szCs w:val="28"/>
              </w:rPr>
              <w:t>8</w:t>
            </w:r>
            <w:r>
              <w:rPr>
                <w:rFonts w:ascii="PT Astra Serif" w:eastAsia="PT Astra Serif" w:hAnsi="PT Astra Serif" w:cs="PT Astra Serif"/>
                <w:spacing w:val="20"/>
                <w:sz w:val="28"/>
                <w:szCs w:val="28"/>
              </w:rPr>
              <w:fldChar w:fldCharType="begin"/>
            </w:r>
            <w:r>
              <w:rPr>
                <w:rFonts w:ascii="PT Astra Serif" w:eastAsia="PT Astra Serif" w:hAnsi="PT Astra Serif" w:cs="PT Astra Serif"/>
                <w:spacing w:val="20"/>
                <w:sz w:val="28"/>
                <w:szCs w:val="28"/>
              </w:rPr>
              <w:instrText xml:space="preserve"> FORMTEXT </w:instrText>
            </w:r>
            <w:r>
              <w:rPr>
                <w:rFonts w:ascii="PT Astra Serif" w:eastAsia="PT Astra Serif" w:hAnsi="PT Astra Serif" w:cs="PT Astra Serif"/>
                <w:spacing w:val="20"/>
                <w:sz w:val="28"/>
                <w:szCs w:val="28"/>
              </w:rPr>
              <w:fldChar w:fldCharType="separate"/>
            </w:r>
            <w:r>
              <w:rPr>
                <w:rFonts w:ascii="PT Astra Serif" w:eastAsia="PT Astra Serif" w:hAnsi="PT Astra Serif" w:cs="PT Astra Serif"/>
                <w:spacing w:val="20"/>
                <w:sz w:val="28"/>
                <w:szCs w:val="28"/>
              </w:rPr>
              <w:fldChar w:fldCharType="end"/>
            </w:r>
            <w:bookmarkEnd w:id="1"/>
          </w:p>
        </w:tc>
      </w:tr>
    </w:tbl>
    <w:p>
      <w:pPr>
        <w:pStyle w:val="ConsPlusNormal"/>
        <w:spacing w:before="480"/>
        <w:jc w:val="center"/>
        <w:rPr>
          <w:rFonts w:ascii="PT Astra Serif" w:hAnsi="PT Astra Serif" w:cs="Times New Roman"/>
          <w:sz w:val="28"/>
          <w:szCs w:val="28"/>
        </w:rPr>
      </w:pPr>
      <w:r>
        <w:rPr>
          <w:rFonts w:ascii="PT Astra Serif" w:hAnsi="PT Astra Serif" w:cs="Times New Roman"/>
          <w:sz w:val="28"/>
          <w:szCs w:val="28"/>
        </w:rPr>
        <w:t>Об утверждении условий эмиссии и обращения облигаций</w:t>
      </w:r>
    </w:p>
    <w:p>
      <w:pPr>
        <w:pStyle w:val="ConsPlusNormal"/>
        <w:jc w:val="center"/>
        <w:rPr>
          <w:rFonts w:ascii="PT Astra Serif" w:hAnsi="PT Astra Serif" w:cs="Times New Roman"/>
          <w:sz w:val="28"/>
          <w:szCs w:val="28"/>
        </w:rPr>
      </w:pPr>
      <w:r>
        <w:rPr>
          <w:rFonts w:ascii="PT Astra Serif" w:hAnsi="PT Astra Serif" w:cs="Times New Roman"/>
          <w:sz w:val="28"/>
          <w:szCs w:val="28"/>
        </w:rPr>
        <w:t>биржевого внутреннего займа Томской области 2025 года</w:t>
      </w:r>
    </w:p>
    <w:p>
      <w:pPr>
        <w:pStyle w:val="ConsPlusNormal"/>
        <w:jc w:val="center"/>
        <w:rPr>
          <w:rFonts w:ascii="PT Astra Serif" w:hAnsi="PT Astra Serif" w:cs="Times New Roman"/>
          <w:sz w:val="28"/>
          <w:szCs w:val="28"/>
        </w:rPr>
      </w:pPr>
      <w:r>
        <w:rPr>
          <w:rFonts w:ascii="PT Astra Serif" w:hAnsi="PT Astra Serif" w:cs="Times New Roman"/>
          <w:sz w:val="28"/>
          <w:szCs w:val="28"/>
        </w:rPr>
        <w:t>с переменным купонным доходом и амортизацией долга</w:t>
      </w:r>
    </w:p>
    <w:p>
      <w:pPr>
        <w:pStyle w:val="ConsPlusNormal"/>
        <w:ind w:firstLine="540"/>
        <w:jc w:val="both"/>
        <w:rPr>
          <w:rFonts w:ascii="PT Astra Serif" w:hAnsi="PT Astra Serif" w:cs="Times New Roman"/>
          <w:sz w:val="28"/>
          <w:szCs w:val="28"/>
        </w:rPr>
      </w:pPr>
    </w:p>
    <w:p>
      <w:pPr>
        <w:pStyle w:val="ConsPlusNormal"/>
        <w:ind w:firstLine="540"/>
        <w:jc w:val="both"/>
        <w:rPr>
          <w:rFonts w:ascii="PT Astra Serif" w:hAnsi="PT Astra Serif" w:cs="Times New Roman"/>
          <w:sz w:val="28"/>
          <w:szCs w:val="28"/>
        </w:rPr>
      </w:pPr>
    </w:p>
    <w:p>
      <w:pPr>
        <w:ind w:firstLine="708"/>
        <w:jc w:val="both"/>
        <w:rPr>
          <w:rFonts w:ascii="PT Astra Serif" w:hAnsi="PT Astra Serif"/>
          <w:sz w:val="26"/>
          <w:szCs w:val="26"/>
        </w:rPr>
      </w:pPr>
      <w:r>
        <w:rPr>
          <w:rFonts w:ascii="PT Astra Serif" w:hAnsi="PT Astra Serif"/>
          <w:sz w:val="28"/>
          <w:szCs w:val="28"/>
        </w:rPr>
        <w:t>В соответствии со статьей</w:t>
      </w:r>
      <w:r>
        <w:rPr>
          <w:rFonts w:ascii="PT Astra Serif" w:hAnsi="PT Astra Serif"/>
          <w:sz w:val="28"/>
          <w:szCs w:val="28"/>
          <w:vertAlign w:val="superscript"/>
        </w:rPr>
        <w:t xml:space="preserve"> </w:t>
      </w:r>
      <w:r>
        <w:rPr>
          <w:rFonts w:ascii="PT Astra Serif" w:hAnsi="PT Astra Serif"/>
          <w:sz w:val="28"/>
          <w:szCs w:val="28"/>
        </w:rPr>
        <w:t>121</w:t>
      </w:r>
      <w:r>
        <w:rPr>
          <w:rFonts w:ascii="PT Astra Serif" w:hAnsi="PT Astra Serif"/>
          <w:sz w:val="28"/>
          <w:szCs w:val="28"/>
          <w:vertAlign w:val="superscript"/>
        </w:rPr>
        <w:t>6</w:t>
      </w:r>
      <w:r>
        <w:rPr>
          <w:rFonts w:ascii="PT Astra Serif" w:hAnsi="PT Astra Serif"/>
          <w:sz w:val="28"/>
          <w:szCs w:val="28"/>
        </w:rPr>
        <w:t xml:space="preserve"> Бюджетного кодекса Российской Федерации, Генеральными </w:t>
      </w:r>
      <w:hyperlink r:id="rId4" w:tooltip="consultantplus://offline/ref=D523E86BA2935134C04978F4A5A7A36278CB6038695CAE4F6FAE2C82C3978C9DE5BB2B67819AD8DD788CB1A1gFF" w:history="1">
        <w:r>
          <w:rPr>
            <w:rFonts w:ascii="PT Astra Serif" w:hAnsi="PT Astra Serif"/>
            <w:sz w:val="28"/>
            <w:szCs w:val="28"/>
          </w:rPr>
          <w:t>усло</w:t>
        </w:r>
        <w:r>
          <w:rPr>
            <w:rFonts w:ascii="PT Astra Serif" w:hAnsi="PT Astra Serif"/>
            <w:sz w:val="28"/>
            <w:szCs w:val="28"/>
          </w:rPr>
          <w:t>виями</w:t>
        </w:r>
      </w:hyperlink>
      <w:r>
        <w:rPr>
          <w:rFonts w:ascii="PT Astra Serif" w:hAnsi="PT Astra Serif"/>
          <w:sz w:val="28"/>
          <w:szCs w:val="28"/>
        </w:rPr>
        <w:t xml:space="preserve"> эмиссии и обращения облигаций биржевого внутреннего займа Томской области, утвержденными постановлением Администрации Томской области от 26.04.2012 № 161а «О выпуске облигаций биржевого внутреннего займа»,</w:t>
      </w:r>
    </w:p>
    <w:p>
      <w:pPr>
        <w:pStyle w:val="ConsPlusNormal"/>
        <w:ind w:right="-141" w:firstLine="709"/>
        <w:jc w:val="both"/>
        <w:rPr>
          <w:rFonts w:ascii="PT Astra Serif" w:hAnsi="PT Astra Serif"/>
          <w:sz w:val="26"/>
          <w:szCs w:val="26"/>
        </w:rPr>
      </w:pPr>
      <w:r>
        <w:rPr>
          <w:rFonts w:ascii="PT Astra Serif" w:hAnsi="PT Astra Serif"/>
          <w:sz w:val="28"/>
          <w:szCs w:val="28"/>
        </w:rPr>
        <w:t>ПРИКАЗЫВАЮ:</w:t>
      </w:r>
    </w:p>
    <w:p>
      <w:pPr>
        <w:pStyle w:val="ConsPlusNormal"/>
        <w:ind w:firstLine="709"/>
        <w:jc w:val="both"/>
        <w:rPr>
          <w:rFonts w:ascii="PT Astra Serif" w:hAnsi="PT Astra Serif"/>
          <w:sz w:val="26"/>
          <w:szCs w:val="26"/>
        </w:rPr>
      </w:pPr>
      <w:r>
        <w:rPr>
          <w:rFonts w:ascii="PT Astra Serif" w:hAnsi="PT Astra Serif"/>
          <w:sz w:val="28"/>
          <w:szCs w:val="28"/>
        </w:rPr>
        <w:t xml:space="preserve">1. Утвердить прилагаемые </w:t>
      </w:r>
      <w:hyperlink w:anchor="P31" w:tooltip="#P31" w:history="1">
        <w:r>
          <w:rPr>
            <w:rFonts w:ascii="PT Astra Serif" w:hAnsi="PT Astra Serif"/>
            <w:sz w:val="28"/>
            <w:szCs w:val="28"/>
          </w:rPr>
          <w:t>условия</w:t>
        </w:r>
      </w:hyperlink>
      <w:r>
        <w:rPr>
          <w:rFonts w:ascii="PT Astra Serif" w:hAnsi="PT Astra Serif"/>
          <w:sz w:val="28"/>
          <w:szCs w:val="28"/>
        </w:rPr>
        <w:t xml:space="preserve"> эмиссии и обращения облигаций биржевого внутреннего займа Томской области 2025 года с </w:t>
      </w:r>
      <w:r>
        <w:rPr>
          <w:rFonts w:ascii="PT Astra Serif" w:hAnsi="PT Astra Serif"/>
          <w:bCs/>
          <w:sz w:val="28"/>
          <w:szCs w:val="28"/>
        </w:rPr>
        <w:t>переменным</w:t>
      </w:r>
      <w:r>
        <w:rPr>
          <w:rFonts w:ascii="PT Astra Serif" w:hAnsi="PT Astra Serif"/>
          <w:sz w:val="28"/>
          <w:szCs w:val="28"/>
        </w:rPr>
        <w:t xml:space="preserve"> купонным доходом и амортизацией долга.</w:t>
      </w:r>
    </w:p>
    <w:p>
      <w:pPr>
        <w:pStyle w:val="ConsPlusNormal"/>
        <w:ind w:firstLine="709"/>
        <w:jc w:val="both"/>
        <w:rPr>
          <w:rFonts w:ascii="PT Astra Serif" w:hAnsi="PT Astra Serif"/>
          <w:sz w:val="26"/>
          <w:szCs w:val="26"/>
        </w:rPr>
      </w:pPr>
      <w:r>
        <w:rPr>
          <w:rFonts w:ascii="PT Astra Serif" w:hAnsi="PT Astra Serif"/>
          <w:sz w:val="28"/>
          <w:szCs w:val="28"/>
        </w:rPr>
        <w:t>2. Настоящий приказ вступает в силу со дня его официального опубликования.</w:t>
      </w:r>
    </w:p>
    <w:p>
      <w:pPr>
        <w:pStyle w:val="ConsPlusNormal"/>
        <w:ind w:firstLine="709"/>
        <w:jc w:val="both"/>
        <w:rPr>
          <w:rFonts w:ascii="PT Astra Serif" w:hAnsi="PT Astra Serif" w:cs="Times New Roman"/>
          <w:sz w:val="28"/>
          <w:szCs w:val="28"/>
        </w:rPr>
      </w:pPr>
      <w:r>
        <w:rPr>
          <w:rFonts w:ascii="PT Astra Serif" w:hAnsi="PT Astra Serif"/>
          <w:sz w:val="28"/>
          <w:szCs w:val="28"/>
        </w:rPr>
        <w:t xml:space="preserve">3. Контроль за исполнением настоящего приказа возложить на заместителя начальника Департамента финансов Томской области </w:t>
      </w:r>
      <w:r>
        <w:rPr>
          <w:rFonts w:ascii="PT Astra Serif" w:hAnsi="PT Astra Serif"/>
          <w:sz w:val="28"/>
          <w:szCs w:val="28"/>
        </w:rPr>
        <w:t>Сидонскую</w:t>
      </w:r>
      <w:r>
        <w:rPr>
          <w:rFonts w:ascii="PT Astra Serif" w:hAnsi="PT Astra Serif"/>
          <w:sz w:val="28"/>
          <w:szCs w:val="28"/>
        </w:rPr>
        <w:t xml:space="preserve"> Я.В.</w:t>
      </w:r>
    </w:p>
    <w:p>
      <w:pPr>
        <w:pStyle w:val="ConsPlusNormal"/>
        <w:ind w:firstLine="709"/>
        <w:jc w:val="both"/>
        <w:rPr>
          <w:rFonts w:ascii="PT Astra Serif" w:hAnsi="PT Astra Serif" w:cs="Times New Roman"/>
          <w:sz w:val="28"/>
          <w:szCs w:val="28"/>
        </w:rPr>
      </w:pPr>
    </w:p>
    <w:p>
      <w:pPr>
        <w:pStyle w:val="ConsPlusNormal"/>
        <w:ind w:firstLine="709"/>
        <w:jc w:val="both"/>
        <w:rPr>
          <w:rFonts w:ascii="PT Astra Serif" w:hAnsi="PT Astra Serif" w:cs="Times New Roman"/>
          <w:sz w:val="28"/>
          <w:szCs w:val="28"/>
          <w:lang w:val="en-US"/>
        </w:rPr>
      </w:pPr>
    </w:p>
    <w:p>
      <w:pPr>
        <w:pStyle w:val="ConsPlusNormal"/>
        <w:ind w:firstLine="709"/>
        <w:jc w:val="both"/>
        <w:rPr>
          <w:rFonts w:ascii="PT Astra Serif" w:hAnsi="PT Astra Serif" w:cs="Times New Roman"/>
          <w:sz w:val="28"/>
          <w:szCs w:val="28"/>
          <w:lang w:val="en-US"/>
        </w:rPr>
      </w:pPr>
    </w:p>
    <w:tbl>
      <w:tblPr>
        <w:tblW w:w="9889" w:type="dxa"/>
        <w:tblLayout w:type="fixed"/>
        <w:tblLook w:val="04A0"/>
      </w:tblPr>
      <w:tblGrid>
        <w:gridCol w:w="3543"/>
        <w:gridCol w:w="3118"/>
        <w:gridCol w:w="3228"/>
      </w:tblGrid>
      <w:tr>
        <w:tblPrEx>
          <w:tblW w:w="9889" w:type="dxa"/>
          <w:tblLayout w:type="fixed"/>
          <w:tblLook w:val="04A0"/>
        </w:tblPrEx>
        <w:tc>
          <w:tcPr>
            <w:tcW w:w="3543" w:type="dxa"/>
            <w:tcBorders>
              <w:top w:val="nil"/>
              <w:left w:val="nil"/>
              <w:bottom w:val="nil"/>
              <w:right w:val="nil"/>
            </w:tcBorders>
            <w:noWrap/>
            <w:textDirection w:val="lrTb"/>
          </w:tcPr>
          <w:p>
            <w:pPr>
              <w:tabs>
                <w:tab w:val="left" w:pos="7088"/>
              </w:tabs>
              <w:jc w:val="both"/>
            </w:pPr>
            <w:r>
              <w:rPr>
                <w:rFonts w:ascii="PT Astra Serif" w:hAnsi="PT Astra Serif"/>
                <w:sz w:val="28"/>
                <w:szCs w:val="28"/>
              </w:rPr>
              <w:t>Заместитель Губернатора Томской области -</w:t>
            </w:r>
          </w:p>
          <w:p>
            <w:pPr>
              <w:tabs>
                <w:tab w:val="left" w:pos="7088"/>
              </w:tabs>
              <w:jc w:val="both"/>
            </w:pPr>
            <w:r>
              <w:rPr>
                <w:rFonts w:ascii="PT Astra Serif" w:hAnsi="PT Astra Serif"/>
                <w:sz w:val="28"/>
                <w:szCs w:val="28"/>
              </w:rPr>
              <w:t>н</w:t>
            </w:r>
            <w:r>
              <w:rPr>
                <w:rFonts w:ascii="PT Astra Serif" w:hAnsi="PT Astra Serif"/>
                <w:sz w:val="28"/>
                <w:szCs w:val="28"/>
              </w:rPr>
              <w:t>ачальник Департамента финансов Томской области</w:t>
            </w:r>
          </w:p>
        </w:tc>
        <w:tc>
          <w:tcPr>
            <w:tcW w:w="3118" w:type="dxa"/>
            <w:tcBorders>
              <w:top w:val="nil"/>
              <w:left w:val="nil"/>
              <w:bottom w:val="nil"/>
              <w:right w:val="nil"/>
            </w:tcBorders>
            <w:noWrap/>
            <w:textDirection w:val="lrTb"/>
          </w:tcPr>
          <w:p>
            <w:pP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fldChar w:fldCharType="begin"/>
            </w:r>
            <w:bookmarkStart w:id="2" w:name="Штамп"/>
            <w:r>
              <w:rPr>
                <w:rFonts w:ascii="PT Astra Serif" w:eastAsia="PT Astra Serif" w:hAnsi="PT Astra Serif" w:cs="PT Astra Serif"/>
                <w:sz w:val="28"/>
                <w:szCs w:val="28"/>
              </w:rPr>
              <w:instrText xml:space="preserve"> FORMTEXT </w:instrText>
            </w:r>
            <w:r>
              <w:rPr>
                <w:rFonts w:ascii="PT Astra Serif" w:eastAsia="PT Astra Serif" w:hAnsi="PT Astra Serif" w:cs="PT Astra Serif"/>
                <w:sz w:val="28"/>
                <w:szCs w:val="28"/>
              </w:rPr>
              <w:fldChar w:fldCharType="separate"/>
            </w:r>
            <w:r>
              <w:rPr>
                <w:rFonts w:ascii="PT Astra Serif" w:eastAsia="PT Astra Serif" w:hAnsi="PT Astra Serif" w:cs="PT Astra Serif"/>
                <w:sz w:val="28"/>
                <w:szCs w:val="28"/>
              </w:rPr>
              <w:fldChar w:fldCharType="end"/>
            </w:r>
            <w:bookmarkEnd w:id="2"/>
          </w:p>
        </w:tc>
        <w:tc>
          <w:tcPr>
            <w:tcW w:w="3228" w:type="dxa"/>
            <w:tcBorders>
              <w:top w:val="nil"/>
              <w:left w:val="nil"/>
              <w:bottom w:val="nil"/>
              <w:right w:val="nil"/>
            </w:tcBorders>
            <w:noWrap/>
            <w:textDirection w:val="lrTb"/>
            <w:vAlign w:val="bottom"/>
          </w:tcPr>
          <w:p>
            <w:pPr>
              <w:tabs>
                <w:tab w:val="left" w:pos="7088"/>
              </w:tabs>
              <w:jc w:val="right"/>
            </w:pPr>
            <w:r>
              <w:rPr>
                <w:rFonts w:ascii="PT Astra Serif" w:hAnsi="PT Astra Serif"/>
                <w:sz w:val="28"/>
                <w:szCs w:val="28"/>
              </w:rPr>
              <w:t xml:space="preserve">А.М. </w:t>
            </w:r>
            <w:r>
              <w:rPr>
                <w:rFonts w:ascii="PT Astra Serif" w:hAnsi="PT Astra Serif"/>
                <w:sz w:val="28"/>
                <w:szCs w:val="28"/>
              </w:rPr>
              <w:t>Феденёв</w:t>
            </w:r>
          </w:p>
        </w:tc>
      </w:tr>
    </w:tbl>
    <w:p>
      <w:pPr>
        <w:pBdr>
          <w:right w:val="nil"/>
        </w:pBdr>
        <w:tabs>
          <w:tab w:val="left" w:pos="7088"/>
        </w:tabs>
        <w:jc w:val="both"/>
        <w:rPr>
          <w:rFonts w:ascii="PT Astra Serif" w:eastAsia="PT Astra Serif" w:hAnsi="PT Astra Serif" w:cs="PT Astra Serif"/>
          <w:sz w:val="26"/>
          <w:szCs w:val="26"/>
          <w:lang w:val="en-US"/>
        </w:rPr>
      </w:pPr>
    </w:p>
    <w:p>
      <w:pPr>
        <w:pBdr>
          <w:right w:val="nil"/>
        </w:pBdr>
        <w:tabs>
          <w:tab w:val="left" w:pos="7088"/>
        </w:tabs>
        <w:jc w:val="both"/>
        <w:rPr>
          <w:rFonts w:ascii="PT Astra Serif" w:hAnsi="PT Astra Serif"/>
          <w:sz w:val="18"/>
          <w:szCs w:val="18"/>
        </w:rPr>
      </w:pPr>
    </w:p>
    <w:p>
      <w:pPr>
        <w:rPr>
          <w:rFonts w:ascii="PT Astra Serif" w:hAnsi="PT Astra Serif"/>
          <w:sz w:val="18"/>
          <w:szCs w:val="18"/>
        </w:rPr>
      </w:pPr>
      <w:r>
        <w:rPr>
          <w:rFonts w:ascii="PT Astra Serif" w:hAnsi="PT Astra Serif"/>
          <w:sz w:val="18"/>
          <w:szCs w:val="18"/>
        </w:rPr>
        <w:br w:type="page"/>
      </w:r>
    </w:p>
    <w:p>
      <w:pPr>
        <w:ind w:left="5528"/>
        <w:rPr>
          <w:rFonts w:ascii="PT Astra Serif" w:hAnsi="PT Astra Serif" w:cs="PT Astra Serif"/>
          <w:sz w:val="28"/>
          <w:szCs w:val="28"/>
        </w:rPr>
      </w:pPr>
      <w:r>
        <w:rPr>
          <w:rFonts w:ascii="PT Astra Serif" w:eastAsia="PT Astra Serif" w:hAnsi="PT Astra Serif" w:cs="PT Astra Serif"/>
          <w:sz w:val="28"/>
          <w:szCs w:val="28"/>
        </w:rPr>
        <w:t>УТВЕРЖДЕНЫ</w:t>
      </w:r>
    </w:p>
    <w:p>
      <w:pPr>
        <w:ind w:left="5528"/>
        <w:rPr>
          <w:rFonts w:ascii="PT Astra Serif" w:hAnsi="PT Astra Serif" w:cs="PT Astra Serif"/>
          <w:sz w:val="28"/>
          <w:szCs w:val="28"/>
        </w:rPr>
      </w:pPr>
      <w:r>
        <w:rPr>
          <w:rFonts w:ascii="PT Astra Serif" w:eastAsia="PT Astra Serif" w:hAnsi="PT Astra Serif" w:cs="PT Astra Serif"/>
          <w:sz w:val="28"/>
          <w:szCs w:val="28"/>
        </w:rPr>
        <w:t>приказом Департамента финансов</w:t>
      </w:r>
    </w:p>
    <w:p>
      <w:pPr>
        <w:ind w:left="5528"/>
        <w:rPr>
          <w:rFonts w:ascii="PT Astra Serif" w:hAnsi="PT Astra Serif" w:cs="PT Astra Serif"/>
          <w:sz w:val="28"/>
          <w:szCs w:val="28"/>
        </w:rPr>
      </w:pPr>
      <w:r>
        <w:rPr>
          <w:rFonts w:ascii="PT Astra Serif" w:eastAsia="PT Astra Serif" w:hAnsi="PT Astra Serif" w:cs="PT Astra Serif"/>
          <w:sz w:val="28"/>
          <w:szCs w:val="28"/>
        </w:rPr>
        <w:t>Томской области</w:t>
      </w:r>
    </w:p>
    <w:p>
      <w:pPr>
        <w:ind w:left="5528"/>
        <w:rPr>
          <w:rFonts w:ascii="PT Astra Serif" w:hAnsi="PT Astra Serif" w:cs="PT Astra Serif"/>
          <w:sz w:val="28"/>
          <w:szCs w:val="28"/>
        </w:rPr>
      </w:pPr>
      <w:r>
        <w:rPr>
          <w:rFonts w:ascii="PT Astra Serif" w:eastAsia="PT Astra Serif" w:hAnsi="PT Astra Serif" w:cs="PT Astra Serif"/>
          <w:sz w:val="28"/>
          <w:szCs w:val="28"/>
        </w:rPr>
        <w:t>от 20.03.2025 № 8</w:t>
      </w:r>
    </w:p>
    <w:p>
      <w:pPr>
        <w:pStyle w:val="ConsPlusTitle"/>
        <w:jc w:val="center"/>
        <w:rPr>
          <w:rFonts w:ascii="PT Astra Serif" w:hAnsi="PT Astra Serif" w:cs="PT Astra Serif"/>
          <w:b w:val="0"/>
          <w:sz w:val="28"/>
          <w:szCs w:val="28"/>
        </w:rPr>
      </w:pPr>
    </w:p>
    <w:p>
      <w:pPr>
        <w:pStyle w:val="ConsPlusTitle"/>
        <w:jc w:val="center"/>
        <w:rPr>
          <w:rFonts w:ascii="PT Astra Serif" w:hAnsi="PT Astra Serif" w:cs="PT Astra Serif"/>
          <w:b w:val="0"/>
          <w:sz w:val="28"/>
          <w:szCs w:val="28"/>
        </w:rPr>
      </w:pPr>
    </w:p>
    <w:p>
      <w:pPr>
        <w:pStyle w:val="ConsPlusTitle"/>
        <w:jc w:val="center"/>
        <w:rPr>
          <w:rFonts w:ascii="PT Astra Serif" w:hAnsi="PT Astra Serif" w:cs="PT Astra Serif"/>
          <w:b w:val="0"/>
          <w:sz w:val="28"/>
          <w:szCs w:val="28"/>
        </w:rPr>
      </w:pPr>
      <w:r>
        <w:rPr>
          <w:rFonts w:ascii="PT Astra Serif" w:eastAsia="PT Astra Serif" w:hAnsi="PT Astra Serif" w:cs="PT Astra Serif"/>
          <w:b w:val="0"/>
          <w:sz w:val="28"/>
          <w:szCs w:val="28"/>
        </w:rPr>
        <w:t>Условия</w:t>
      </w:r>
    </w:p>
    <w:p>
      <w:pPr>
        <w:widowControl w:val="0"/>
        <w:jc w:val="center"/>
        <w:rPr>
          <w:rFonts w:ascii="PT Astra Serif" w:hAnsi="PT Astra Serif" w:cs="PT Astra Serif"/>
          <w:bCs/>
          <w:sz w:val="28"/>
          <w:szCs w:val="28"/>
        </w:rPr>
      </w:pPr>
      <w:r>
        <w:rPr>
          <w:rFonts w:ascii="PT Astra Serif" w:eastAsia="PT Astra Serif" w:hAnsi="PT Astra Serif" w:cs="PT Astra Serif"/>
          <w:bCs/>
          <w:sz w:val="28"/>
          <w:szCs w:val="28"/>
        </w:rPr>
        <w:t xml:space="preserve">эмиссии и обращения облигаций биржевого внутреннего займа Томской области 2025 года </w:t>
      </w:r>
      <w:r>
        <w:rPr>
          <w:rFonts w:ascii="PT Astra Serif" w:eastAsia="PT Astra Serif" w:hAnsi="PT Astra Serif" w:cs="PT Astra Serif"/>
          <w:bCs/>
          <w:sz w:val="28"/>
          <w:szCs w:val="28"/>
        </w:rPr>
        <w:t>с переменным купонным доходом и амортизацией долга</w:t>
      </w:r>
    </w:p>
    <w:p>
      <w:pPr>
        <w:ind w:firstLine="540"/>
        <w:jc w:val="both"/>
        <w:rPr>
          <w:rFonts w:ascii="PT Astra Serif" w:hAnsi="PT Astra Serif" w:cs="PT Astra Serif"/>
          <w:sz w:val="28"/>
          <w:szCs w:val="28"/>
        </w:rPr>
      </w:pPr>
    </w:p>
    <w:p>
      <w:pPr>
        <w:pStyle w:val="ConsPlusNormal"/>
        <w:jc w:val="center"/>
        <w:outlineLvl w:val="1"/>
        <w:rPr>
          <w:rFonts w:ascii="PT Astra Serif" w:hAnsi="PT Astra Serif" w:cs="PT Astra Serif"/>
          <w:sz w:val="28"/>
          <w:szCs w:val="28"/>
        </w:rPr>
      </w:pPr>
      <w:r>
        <w:rPr>
          <w:rFonts w:ascii="PT Astra Serif" w:eastAsia="PT Astra Serif" w:hAnsi="PT Astra Serif" w:cs="PT Astra Serif"/>
          <w:sz w:val="28"/>
          <w:szCs w:val="28"/>
        </w:rPr>
        <w:t>1. Общие положения</w:t>
      </w:r>
    </w:p>
    <w:p>
      <w:pPr>
        <w:pStyle w:val="ConsPlusNormal"/>
        <w:jc w:val="both"/>
        <w:rPr>
          <w:rFonts w:ascii="PT Astra Serif" w:hAnsi="PT Astra Serif" w:cs="PT Astra Serif"/>
          <w:sz w:val="28"/>
          <w:szCs w:val="28"/>
        </w:rPr>
      </w:pPr>
    </w:p>
    <w:p>
      <w:pPr>
        <w:pStyle w:val="ConsPlusNormal"/>
        <w:ind w:left="0" w:right="0"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1. </w:t>
      </w:r>
      <w:r>
        <w:rPr>
          <w:rFonts w:ascii="PT Astra Serif" w:eastAsia="PT Astra Serif" w:hAnsi="PT Astra Serif" w:cs="PT Astra Serif"/>
          <w:sz w:val="28"/>
          <w:szCs w:val="28"/>
        </w:rPr>
        <w:t>Настоящие Условия эмиссии и обращен</w:t>
      </w:r>
      <w:r>
        <w:rPr>
          <w:rFonts w:ascii="PT Astra Serif" w:eastAsia="PT Astra Serif" w:hAnsi="PT Astra Serif" w:cs="PT Astra Serif"/>
          <w:sz w:val="28"/>
          <w:szCs w:val="28"/>
        </w:rPr>
        <w:t xml:space="preserve">ия облигаций биржевого внутреннего займа Томской области 2025 года с переменным купонным доходом и амортизацией долга (далее – Условия эмиссии) приняты в соответствии с Генеральными </w:t>
      </w:r>
      <w:hyperlink r:id="rId4" w:tooltip="consultantplus://offline/ref=D523E86BA2935134C04978F4A5A7A36278CB6038695CAE4F6FAE2C82C3978C9DE5BB2B67819AD8DD788CB1A1gFF" w:history="1">
        <w:r>
          <w:rPr>
            <w:rFonts w:ascii="PT Astra Serif" w:eastAsia="PT Astra Serif" w:hAnsi="PT Astra Serif" w:cs="PT Astra Serif"/>
            <w:sz w:val="28"/>
            <w:szCs w:val="28"/>
          </w:rPr>
          <w:t>условиями</w:t>
        </w:r>
      </w:hyperlink>
      <w:r>
        <w:rPr>
          <w:rFonts w:ascii="PT Astra Serif" w:eastAsia="PT Astra Serif" w:hAnsi="PT Astra Serif" w:cs="PT Astra Serif"/>
          <w:sz w:val="28"/>
          <w:szCs w:val="28"/>
        </w:rPr>
        <w:t xml:space="preserve"> эмиссии и обращения об</w:t>
      </w:r>
      <w:r>
        <w:rPr>
          <w:rFonts w:ascii="PT Astra Serif" w:eastAsia="PT Astra Serif" w:hAnsi="PT Astra Serif" w:cs="PT Astra Serif"/>
          <w:sz w:val="28"/>
          <w:szCs w:val="28"/>
        </w:rPr>
        <w:t xml:space="preserve">лигаций биржевого внутреннего займа Томской области, утвержденными постановлением Администрации Томской области от 26.04.2012 № 161а «О выпуске облигаций биржевого внутреннего займа» (далее - Генеральные условия), и определяют порядок эмиссии, обращения и </w:t>
      </w:r>
      <w:r>
        <w:rPr>
          <w:rFonts w:ascii="PT Astra Serif" w:eastAsia="PT Astra Serif" w:hAnsi="PT Astra Serif" w:cs="PT Astra Serif"/>
          <w:sz w:val="28"/>
          <w:szCs w:val="28"/>
        </w:rPr>
        <w:t>погашения облигаций биржевого внутреннего займа Томской области 2025 года с переменным купонным доходом и амортизацией долга (далее - Облигации).</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2. Эмитентом Облигаций от имени Томской области выступает Департамент финансов Томской области (далее - Эмитен</w:t>
      </w:r>
      <w:r>
        <w:rPr>
          <w:rFonts w:ascii="PT Astra Serif" w:eastAsia="PT Astra Serif" w:hAnsi="PT Astra Serif" w:cs="PT Astra Serif"/>
          <w:sz w:val="28"/>
          <w:szCs w:val="28"/>
        </w:rPr>
        <w:t>т).</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Юридический и почтовый адрес Эмитента: 634050, г. Томск, пр. Ленина, </w:t>
      </w:r>
      <w:r>
        <w:rPr>
          <w:rFonts w:ascii="PT Astra Serif" w:eastAsia="PT Astra Serif" w:hAnsi="PT Astra Serif" w:cs="PT Astra Serif"/>
          <w:sz w:val="28"/>
          <w:szCs w:val="28"/>
        </w:rPr>
        <w:br/>
        <w:t>д. 111.</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Мероприятия, необходимые для осуществления эмиссии, обращения и погашения Облигаций, проводит Эмитент. </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3. Генеральным агентом Эмитента выступает профессиональный участник ры</w:t>
      </w:r>
      <w:r>
        <w:rPr>
          <w:rFonts w:ascii="PT Astra Serif" w:eastAsia="PT Astra Serif" w:hAnsi="PT Astra Serif" w:cs="PT Astra Serif"/>
          <w:sz w:val="28"/>
          <w:szCs w:val="28"/>
        </w:rPr>
        <w:t>нка ценных бумаг, определенный в соответствии с законодательством Российской Федерации и заключивший с Эмитентом государственный контракт (далее - Генеральный агент).</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Уполномоченным депозитарием выступает профессиональный участник рынка ценных бумаг, осуще</w:t>
      </w:r>
      <w:r>
        <w:rPr>
          <w:rFonts w:ascii="PT Astra Serif" w:eastAsia="PT Astra Serif" w:hAnsi="PT Astra Serif" w:cs="PT Astra Serif"/>
          <w:sz w:val="28"/>
          <w:szCs w:val="28"/>
        </w:rPr>
        <w:t>ствляющий на основании соответствующей лицензии обязательное централизованное хранение глобального сертификата Облигаций, определенный в соответствии с законодательством Российской Федерации и заключивший с Эмитентом государственный контракт (далее - Уполн</w:t>
      </w:r>
      <w:r>
        <w:rPr>
          <w:rFonts w:ascii="PT Astra Serif" w:eastAsia="PT Astra Serif" w:hAnsi="PT Astra Serif" w:cs="PT Astra Serif"/>
          <w:sz w:val="28"/>
          <w:szCs w:val="28"/>
        </w:rPr>
        <w:t xml:space="preserve">омоченный депозитарий). </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Организатором торговли выступает лицо, оказывающее услуги по проведению организованных торгов на финансовом рынке на основании лицензии биржи, определенное в соответствии с законодательством Российской Федерации и заключивший с Эми</w:t>
      </w:r>
      <w:r>
        <w:rPr>
          <w:rFonts w:ascii="PT Astra Serif" w:eastAsia="PT Astra Serif" w:hAnsi="PT Astra Serif" w:cs="PT Astra Serif"/>
          <w:sz w:val="28"/>
          <w:szCs w:val="28"/>
        </w:rPr>
        <w:t>тентом государственный контракт (далее - Организатор торговли).</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Данные о Генеральном агенте, Уполномоченном депозитарии и Организаторе торговли раскрываются в решениях об эмиссии Облигаций (далее </w:t>
      </w:r>
      <w:r>
        <w:rPr>
          <w:rFonts w:ascii="PT Astra Serif" w:eastAsia="PT Astra Serif" w:hAnsi="PT Astra Serif" w:cs="PT Astra Serif"/>
          <w:sz w:val="28"/>
          <w:szCs w:val="28"/>
        </w:rPr>
        <w:t>- Решение об эмиссии).</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4. Облигации являются государственным</w:t>
      </w:r>
      <w:r>
        <w:rPr>
          <w:rFonts w:ascii="PT Astra Serif" w:eastAsia="PT Astra Serif" w:hAnsi="PT Astra Serif" w:cs="PT Astra Serif"/>
          <w:sz w:val="28"/>
          <w:szCs w:val="28"/>
        </w:rPr>
        <w:t>и ценными бумагами с переменным купонным доходом и амортизацией долга и выпускаются в форме именных документарных ценных бумаг с обязательным централизованным хранением (учетом) Глобального сертификата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5. Облигации предоставляют их владельцам пр</w:t>
      </w:r>
      <w:r>
        <w:rPr>
          <w:rFonts w:ascii="PT Astra Serif" w:eastAsia="PT Astra Serif" w:hAnsi="PT Astra Serif" w:cs="PT Astra Serif"/>
          <w:sz w:val="28"/>
          <w:szCs w:val="28"/>
        </w:rPr>
        <w:t>аво на получение номинальной стоимости Облигаций, выплачиваемой частями в размере и в даты, установленные Решением об эмиссии, и право на получение купонного дохода, начисляемого на непогашенную часть номинальной стоимости Облигаций.</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Владельцы Облигаций им</w:t>
      </w:r>
      <w:r>
        <w:rPr>
          <w:rFonts w:ascii="PT Astra Serif" w:eastAsia="PT Astra Serif" w:hAnsi="PT Astra Serif" w:cs="PT Astra Serif"/>
          <w:sz w:val="28"/>
          <w:szCs w:val="28"/>
        </w:rPr>
        <w:t>еют право владеть, пользоваться и распоряжаться принадлежащими им Облигациями в соответствии с законодательством Российской Федерации.</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Владельцы Облигаций имеют право совершать с Облигациями гражданско-правовые сделки в соответствии с законодательством Рос</w:t>
      </w:r>
      <w:r>
        <w:rPr>
          <w:rFonts w:ascii="PT Astra Serif" w:eastAsia="PT Astra Serif" w:hAnsi="PT Astra Serif" w:cs="PT Astra Serif"/>
          <w:sz w:val="28"/>
          <w:szCs w:val="28"/>
        </w:rPr>
        <w:t xml:space="preserve">сийской Федерации, Генеральными </w:t>
      </w:r>
      <w:hyperlink r:id="rId5" w:tooltip="consultantplus://offline/ref=D523E86BA2935134C04978F4A5A7A36278CB6038695CAE4F6FAE2C82C3978C9DE5BB2B67819AD8DD788CB6A1gFF" w:history="1">
        <w:r>
          <w:rPr>
            <w:rFonts w:ascii="PT Astra Serif" w:eastAsia="PT Astra Serif" w:hAnsi="PT Astra Serif" w:cs="PT Astra Serif"/>
            <w:sz w:val="28"/>
            <w:szCs w:val="28"/>
          </w:rPr>
          <w:t>условиями</w:t>
        </w:r>
      </w:hyperlink>
      <w:r>
        <w:rPr>
          <w:rFonts w:ascii="PT Astra Serif" w:eastAsia="PT Astra Serif" w:hAnsi="PT Astra Serif" w:cs="PT Astra Serif"/>
          <w:sz w:val="28"/>
          <w:szCs w:val="28"/>
        </w:rPr>
        <w:t>, настоящими Условиями эмиссии и Решениями об эмиссии.</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Права владельцев Облигаций при соблюдении ими установленного законодательством Российской Федерации порядка осуществления этих прав обеспечиваются Эмитен</w:t>
      </w:r>
      <w:r>
        <w:rPr>
          <w:rFonts w:ascii="PT Astra Serif" w:eastAsia="PT Astra Serif" w:hAnsi="PT Astra Serif" w:cs="PT Astra Serif"/>
          <w:sz w:val="28"/>
          <w:szCs w:val="28"/>
        </w:rPr>
        <w:t>том.</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6. Эмиссия Облигаций осуществляется выпусками. Облигации в рамках одного выпуска равны между собой по объему предоставляемых ими прав.</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Выпуск Облигаций, отличающийся от одного из существующих выпусков Облигаций только датой выпуска (датой размещения),</w:t>
      </w:r>
      <w:r>
        <w:rPr>
          <w:rFonts w:ascii="PT Astra Serif" w:eastAsia="PT Astra Serif" w:hAnsi="PT Astra Serif" w:cs="PT Astra Serif"/>
          <w:sz w:val="28"/>
          <w:szCs w:val="28"/>
        </w:rPr>
        <w:t xml:space="preserve"> признается частью существующего выпуска Облигаций (дополнительный выпуск Облигаций), и ему присваивается государственный регистрационный номер существующего выпуска. Решение об эмиссии дополнительного выпуска Облигаций должно содержать указание на то, что</w:t>
      </w:r>
      <w:r>
        <w:rPr>
          <w:rFonts w:ascii="PT Astra Serif" w:eastAsia="PT Astra Serif" w:hAnsi="PT Astra Serif" w:cs="PT Astra Serif"/>
          <w:sz w:val="28"/>
          <w:szCs w:val="28"/>
        </w:rPr>
        <w:t xml:space="preserve"> данный выпуск Облигаций является дополнительным.</w:t>
      </w:r>
    </w:p>
    <w:p>
      <w:pPr>
        <w:ind w:firstLine="540"/>
        <w:jc w:val="both"/>
        <w:rPr>
          <w:rFonts w:ascii="PT Astra Serif" w:hAnsi="PT Astra Serif" w:cs="PT Astra Serif"/>
          <w:sz w:val="26"/>
          <w:szCs w:val="26"/>
        </w:rPr>
      </w:pPr>
      <w:r>
        <w:rPr>
          <w:rFonts w:ascii="PT Astra Serif" w:eastAsia="PT Astra Serif" w:hAnsi="PT Astra Serif" w:cs="PT Astra Serif"/>
          <w:sz w:val="28"/>
          <w:szCs w:val="28"/>
        </w:rPr>
        <w:t>Облигации дополнительного выпуска предоставляют их владельцам тот же объем прав, что и Облигации выпуска, регистрационный номер которого присваивается дополнительному выпуску.</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7. В соответствии с настоящими</w:t>
      </w:r>
      <w:r>
        <w:rPr>
          <w:rFonts w:ascii="PT Astra Serif" w:eastAsia="PT Astra Serif" w:hAnsi="PT Astra Serif" w:cs="PT Astra Serif"/>
          <w:sz w:val="28"/>
          <w:szCs w:val="28"/>
        </w:rPr>
        <w:t xml:space="preserve"> Условиями эмиссии выпуски Облигаций могут иметь разные сроки обращения от 1 (одного) года до 10 (десяти) лет включительно.</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Срок обращения выпуска Облигаций устанавливается в Решении об эмиссии.</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8. Номинальная стоимость Облигации выражается в валюте Россий</w:t>
      </w:r>
      <w:r>
        <w:rPr>
          <w:rFonts w:ascii="PT Astra Serif" w:eastAsia="PT Astra Serif" w:hAnsi="PT Astra Serif" w:cs="PT Astra Serif"/>
          <w:sz w:val="28"/>
          <w:szCs w:val="28"/>
        </w:rPr>
        <w:t>ской Федерации и составляет 1000 (одну тысячу) рублей.</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9. Каждый выпуск Облигаций оформляется одним Глобальным сертификатом, который удостоверяет совокупность прав на Облигации, указанные в нем, и передается на хранение (учет) Уполномоченному депозитарию.</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Глобальный сертификат на руки владельцам Облигаций не выдается. Право собственности на Облигации переходит в момент осуществления </w:t>
      </w:r>
      <w:r>
        <w:rPr>
          <w:rFonts w:ascii="PT Astra Serif" w:eastAsia="PT Astra Serif" w:hAnsi="PT Astra Serif" w:cs="PT Astra Serif"/>
          <w:sz w:val="28"/>
          <w:szCs w:val="28"/>
        </w:rPr>
        <w:t>приходной записи по счету депо приобретателя.</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Учет и удостоверение прав на Облигации, учет и удостоверение передачи Облигаций,</w:t>
      </w:r>
      <w:r>
        <w:rPr>
          <w:rFonts w:ascii="PT Astra Serif" w:eastAsia="PT Astra Serif" w:hAnsi="PT Astra Serif" w:cs="PT Astra Serif"/>
          <w:sz w:val="28"/>
          <w:szCs w:val="28"/>
        </w:rPr>
        <w:t xml:space="preserve"> включая случаи обременения Облигаций обязательствами, осуществляется Уполномоченным депозитарием, осуществляющим централизованное хранение Глобального сертификата, и иными депозитариями, осуществляющими учет прав на Облигации, за исключением Уполномоченно</w:t>
      </w:r>
      <w:r>
        <w:rPr>
          <w:rFonts w:ascii="PT Astra Serif" w:eastAsia="PT Astra Serif" w:hAnsi="PT Astra Serif" w:cs="PT Astra Serif"/>
          <w:sz w:val="28"/>
          <w:szCs w:val="28"/>
        </w:rPr>
        <w:t>го депозитария (далее – Депозитарии).</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Удостоверением права владельца на Облигации является выписка со счета депо в Уполномоченном депозитарии или Депозитариях.</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10. На основании Генеральных </w:t>
      </w:r>
      <w:hyperlink r:id="rId5" w:tooltip="consultantplus://offline/ref=D523E86BA2935134C04978F4A5A7A36278CB6038695CAE4F6FAE2C82C3978C9DE5BB2B67819AD8DD788CB6A1gFF" w:history="1">
        <w:r>
          <w:rPr>
            <w:rFonts w:ascii="PT Astra Serif" w:eastAsia="PT Astra Serif" w:hAnsi="PT Astra Serif" w:cs="PT Astra Serif"/>
            <w:sz w:val="28"/>
            <w:szCs w:val="28"/>
          </w:rPr>
          <w:t>условий</w:t>
        </w:r>
      </w:hyperlink>
      <w:r>
        <w:rPr>
          <w:rFonts w:ascii="PT Astra Serif" w:eastAsia="PT Astra Serif" w:hAnsi="PT Astra Serif" w:cs="PT Astra Serif"/>
          <w:sz w:val="28"/>
          <w:szCs w:val="28"/>
        </w:rPr>
        <w:t xml:space="preserve"> и настоящих Условий эмиссии Эмитентом утверждается Р</w:t>
      </w:r>
      <w:r>
        <w:rPr>
          <w:rFonts w:ascii="PT Astra Serif" w:eastAsia="PT Astra Serif" w:hAnsi="PT Astra Serif" w:cs="PT Astra Serif"/>
          <w:sz w:val="28"/>
          <w:szCs w:val="28"/>
        </w:rPr>
        <w:t>ешение об эмиссии каждого отдельного выпуска Облигаций, предусматривающее конкретные условия, необходимые в соответствии с законодательством Российской Федерации для эмиссии отдельного выпуска Облигаций.</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11. Вопросы эмиссии, обращения и погашения Облигаций</w:t>
      </w:r>
      <w:r>
        <w:rPr>
          <w:rFonts w:ascii="PT Astra Serif" w:eastAsia="PT Astra Serif" w:hAnsi="PT Astra Serif" w:cs="PT Astra Serif"/>
          <w:sz w:val="28"/>
          <w:szCs w:val="28"/>
        </w:rPr>
        <w:t xml:space="preserve">, не урегулированные Генеральными </w:t>
      </w:r>
      <w:hyperlink r:id="rId5" w:tooltip="consultantplus://offline/ref=D523E86BA2935134C04978F4A5A7A36278CB6038695CAE4F6FAE2C82C3978C9DE5BB2B67819AD8DD788CB6A1gFF" w:history="1">
        <w:r>
          <w:rPr>
            <w:rFonts w:ascii="PT Astra Serif" w:eastAsia="PT Astra Serif" w:hAnsi="PT Astra Serif" w:cs="PT Astra Serif"/>
            <w:sz w:val="28"/>
            <w:szCs w:val="28"/>
          </w:rPr>
          <w:t>условиями</w:t>
        </w:r>
      </w:hyperlink>
      <w:r>
        <w:rPr>
          <w:rFonts w:ascii="PT Astra Serif" w:eastAsia="PT Astra Serif" w:hAnsi="PT Astra Serif" w:cs="PT Astra Serif"/>
          <w:sz w:val="28"/>
          <w:szCs w:val="28"/>
        </w:rPr>
        <w:t>, настоящими Условиями эмиссии и Решением об эмиссии, регламентируются Эмитентом в соответствии с законодательством Российской Федерации.</w:t>
      </w:r>
    </w:p>
    <w:p>
      <w:pPr>
        <w:pStyle w:val="ConsPlusNormal"/>
        <w:ind w:firstLine="709"/>
        <w:jc w:val="both"/>
        <w:rPr>
          <w:rFonts w:ascii="PT Astra Serif" w:hAnsi="PT Astra Serif" w:cs="PT Astra Serif"/>
          <w:sz w:val="26"/>
          <w:szCs w:val="26"/>
        </w:rPr>
      </w:pPr>
    </w:p>
    <w:p>
      <w:pPr>
        <w:pStyle w:val="ConsPlusNormal"/>
        <w:jc w:val="center"/>
        <w:outlineLvl w:val="1"/>
        <w:rPr>
          <w:rFonts w:ascii="PT Astra Serif" w:hAnsi="PT Astra Serif" w:cs="PT Astra Serif"/>
          <w:sz w:val="26"/>
          <w:szCs w:val="26"/>
        </w:rPr>
      </w:pPr>
      <w:r>
        <w:rPr>
          <w:rFonts w:ascii="PT Astra Serif" w:eastAsia="PT Astra Serif" w:hAnsi="PT Astra Serif" w:cs="PT Astra Serif"/>
          <w:sz w:val="28"/>
          <w:szCs w:val="28"/>
        </w:rPr>
        <w:t>2. Порядок размещения и обращения Облигаций</w:t>
      </w:r>
    </w:p>
    <w:p>
      <w:pPr>
        <w:pStyle w:val="ConsPlusNormal"/>
        <w:ind w:firstLine="709"/>
        <w:jc w:val="both"/>
        <w:rPr>
          <w:rFonts w:ascii="PT Astra Serif" w:hAnsi="PT Astra Serif" w:cs="PT Astra Serif"/>
          <w:sz w:val="26"/>
          <w:szCs w:val="26"/>
        </w:rPr>
      </w:pP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12. Дата начала размещения Облигаций устанавливается в Решении об эмиссии.</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Дата окончания размещения Облигаций - день продажи последней Облигации первым владельцам.</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13. Раскрытие информации, содержащейся в Решен</w:t>
      </w:r>
      <w:r>
        <w:rPr>
          <w:rFonts w:ascii="PT Astra Serif" w:eastAsia="PT Astra Serif" w:hAnsi="PT Astra Serif" w:cs="PT Astra Serif"/>
          <w:sz w:val="28"/>
          <w:szCs w:val="28"/>
        </w:rPr>
        <w:t>ии об эмиссии, осуществляется путем размещения (опубликования) на официальном сайте Эмитента в информационно-телекоммуникационной сети Интернет не позднее чем за два рабочих дня до даты начала размещения выпуска Облигаций.</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14. Размещение, обращение, включа</w:t>
      </w:r>
      <w:r>
        <w:rPr>
          <w:rFonts w:ascii="PT Astra Serif" w:eastAsia="PT Astra Serif" w:hAnsi="PT Astra Serif" w:cs="PT Astra Serif"/>
          <w:sz w:val="28"/>
          <w:szCs w:val="28"/>
        </w:rPr>
        <w:t>я выкуп Облигаций, осуществляются на торгах Организатора торговли в соответствии с установленными им правилами организованных торгов в соответствии с законодательством Российской Федерации, Генеральными условиями, настоящими Условиями эмиссии и Решениями о</w:t>
      </w:r>
      <w:r>
        <w:rPr>
          <w:rFonts w:ascii="PT Astra Serif" w:eastAsia="PT Astra Serif" w:hAnsi="PT Astra Serif" w:cs="PT Astra Serif"/>
          <w:sz w:val="28"/>
          <w:szCs w:val="28"/>
        </w:rPr>
        <w:t>б эмиссии.</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В рамках эмиссии Облигаций размещение выпусков Облигаций может осуществляться в соответствии с законодательством Российской Федерации, настоящими Условиями эмиссии и Решением об эмиссии путем заключения сделок купли-продажи Облигаций между Генер</w:t>
      </w:r>
      <w:r>
        <w:rPr>
          <w:rFonts w:ascii="PT Astra Serif" w:eastAsia="PT Astra Serif" w:hAnsi="PT Astra Serif" w:cs="PT Astra Serif"/>
          <w:sz w:val="28"/>
          <w:szCs w:val="28"/>
        </w:rPr>
        <w:t>альным агентом, действующим по поручению и за счет Эмитента, и первыми владельцами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Размещение Облигаций может осуществляться одним из следующих способов:</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 путем проведения аукциона по определению цены размещения Облигаций в процентах от номинал</w:t>
      </w:r>
      <w:r>
        <w:rPr>
          <w:rFonts w:ascii="PT Astra Serif" w:eastAsia="PT Astra Serif" w:hAnsi="PT Astra Serif" w:cs="PT Astra Serif"/>
          <w:sz w:val="28"/>
          <w:szCs w:val="28"/>
        </w:rPr>
        <w:t>ьной стоимости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 путем проведения конкурса по определению ставки купонного дохода на первый купонный период по Облигациям в процентах годовых;</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 путем сбора адресных заявок со стороны покупателей на приобретение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по процентной ставке п</w:t>
      </w:r>
      <w:r>
        <w:rPr>
          <w:rFonts w:ascii="PT Astra Serif" w:eastAsia="PT Astra Serif" w:hAnsi="PT Astra Serif" w:cs="PT Astra Serif"/>
          <w:sz w:val="28"/>
          <w:szCs w:val="28"/>
        </w:rPr>
        <w:t>ервого купона и цене размещения, равной номинальной стоимости Облигаций в дату начала размещения и равной или отличной от нее в остальные даты (далее – Сбор адресных заявок по купону);</w:t>
      </w:r>
    </w:p>
    <w:p>
      <w:pPr>
        <w:ind w:firstLine="540"/>
        <w:jc w:val="both"/>
        <w:rPr>
          <w:rFonts w:ascii="PT Astra Serif" w:hAnsi="PT Astra Serif" w:cs="PT Astra Serif"/>
          <w:sz w:val="26"/>
          <w:szCs w:val="26"/>
        </w:rPr>
      </w:pPr>
      <w:r>
        <w:rPr>
          <w:rFonts w:ascii="PT Astra Serif" w:eastAsia="PT Astra Serif" w:hAnsi="PT Astra Serif" w:cs="PT Astra Serif"/>
          <w:sz w:val="28"/>
          <w:szCs w:val="28"/>
        </w:rPr>
        <w:t xml:space="preserve">  по цене размещения Облигаций и с процентными ставками купонного дохода </w:t>
      </w:r>
      <w:r>
        <w:rPr>
          <w:rFonts w:ascii="PT Astra Serif" w:eastAsia="PT Astra Serif" w:hAnsi="PT Astra Serif" w:cs="PT Astra Serif"/>
          <w:sz w:val="28"/>
          <w:szCs w:val="28"/>
        </w:rPr>
        <w:t>или порядком его расчета по всем купонным периодам (ставки всех купонов), заранее определенными Эмитентом (далее - Сбор адресных заявок по цене).</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Способ размещения Облигаций устанавливается в Решении об эмиссии.</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15. Размещение Облигаций путем проведения ау</w:t>
      </w:r>
      <w:r>
        <w:rPr>
          <w:rFonts w:ascii="PT Astra Serif" w:eastAsia="PT Astra Serif" w:hAnsi="PT Astra Serif" w:cs="PT Astra Serif"/>
          <w:sz w:val="28"/>
          <w:szCs w:val="28"/>
        </w:rPr>
        <w:t>кциона по определению цены размещения.</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Предметом аукциона является определение цены размещения Облигаций в процентах от номинальной стоимости Облигаций. Порядок расчета купонного дохода по Облигациям устанавливается Эмитентом в Решении об эмиссии.</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Участник</w:t>
      </w:r>
      <w:r>
        <w:rPr>
          <w:rFonts w:ascii="PT Astra Serif" w:eastAsia="PT Astra Serif" w:hAnsi="PT Astra Serif" w:cs="PT Astra Serif"/>
          <w:sz w:val="28"/>
          <w:szCs w:val="28"/>
        </w:rPr>
        <w:t>и аукциона подают заявки на покупку Облигаций. Существенным условием каждой заявки на покупку Облигаций является указание цены размещения Облигаций в процентах от номинальной стоимости Облигаций и количества приобретаемых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Эмитент устанавливает е</w:t>
      </w:r>
      <w:r>
        <w:rPr>
          <w:rFonts w:ascii="PT Astra Serif" w:eastAsia="PT Astra Serif" w:hAnsi="PT Astra Serif" w:cs="PT Astra Serif"/>
          <w:sz w:val="28"/>
          <w:szCs w:val="28"/>
        </w:rPr>
        <w:t>диную цену размещения Облигаций на основании поданных участниками аукциона заявок и с учетом приемлемой стоимости заимствования. Генеральный агент удовлетворяет только те заявки участников аукциона, в которых цена размещения Облигаций равна или выше цены р</w:t>
      </w:r>
      <w:r>
        <w:rPr>
          <w:rFonts w:ascii="PT Astra Serif" w:eastAsia="PT Astra Serif" w:hAnsi="PT Astra Serif" w:cs="PT Astra Serif"/>
          <w:sz w:val="28"/>
          <w:szCs w:val="28"/>
        </w:rPr>
        <w:t>азмещения Облигаций, установленной Эмитентом.</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Заявки на покупку Облигаций удовлетворяются на условиях приоритета заявок на покупку Облигаций с наибольшей ценой размещения Облигаций, то есть в первую очередь удовлетворяются заявки на покупку Облигаций, в ко</w:t>
      </w:r>
      <w:r>
        <w:rPr>
          <w:rFonts w:ascii="PT Astra Serif" w:eastAsia="PT Astra Serif" w:hAnsi="PT Astra Serif" w:cs="PT Astra Serif"/>
          <w:sz w:val="28"/>
          <w:szCs w:val="28"/>
        </w:rPr>
        <w:t xml:space="preserve">торых указана наибольшая цена размещения Облигаций. Если с одинаковой ценой размещения Облигаций зарегистрировано несколько заявок на покупку Облигаций, то в первую очередь удовлетворяются заявки на покупку Облигаций, поданные ранее по времени. Количество </w:t>
      </w:r>
      <w:r>
        <w:rPr>
          <w:rFonts w:ascii="PT Astra Serif" w:eastAsia="PT Astra Serif" w:hAnsi="PT Astra Serif" w:cs="PT Astra Serif"/>
          <w:sz w:val="28"/>
          <w:szCs w:val="28"/>
        </w:rPr>
        <w:t>Облигаций, указанных в заявке на покупку Облигаций, не влияет на ее приоритет. В случае если объем последней из удовлетворяемых заявок на покупку Облигаций превышает количество Облигаций, оставшихся неразмещенными, то данная заявка на покупку Облигаций удо</w:t>
      </w:r>
      <w:r>
        <w:rPr>
          <w:rFonts w:ascii="PT Astra Serif" w:eastAsia="PT Astra Serif" w:hAnsi="PT Astra Serif" w:cs="PT Astra Serif"/>
          <w:sz w:val="28"/>
          <w:szCs w:val="28"/>
        </w:rPr>
        <w:t>влетворяется в размере неразмещенного остатка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16. Размещение Облигаций путем проведения конкурса по определению ставки купонного дохода на первый купонный период.</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Предметом конкурса является определение ставки купонного дохода на первый купонный</w:t>
      </w:r>
      <w:r>
        <w:rPr>
          <w:rFonts w:ascii="PT Astra Serif" w:eastAsia="PT Astra Serif" w:hAnsi="PT Astra Serif" w:cs="PT Astra Serif"/>
          <w:sz w:val="28"/>
          <w:szCs w:val="28"/>
        </w:rPr>
        <w:t xml:space="preserve"> период по Облигациям в процентах годовых.</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Размещение Облигаций в дату проведения конкурса осуществляется по цене, равной 100 (ста) процентам от номинальной стоимости Облигаций и равной или отличной от нее в последующие даты.</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Участники конкурса подают в ад</w:t>
      </w:r>
      <w:r>
        <w:rPr>
          <w:rFonts w:ascii="PT Astra Serif" w:eastAsia="PT Astra Serif" w:hAnsi="PT Astra Serif" w:cs="PT Astra Serif"/>
          <w:sz w:val="28"/>
          <w:szCs w:val="28"/>
        </w:rPr>
        <w:t xml:space="preserve">рес Генерального агента заявки на покупку Облигаций. Существенным условием каждой заявки на покупку </w:t>
      </w:r>
      <w:r>
        <w:rPr>
          <w:rFonts w:ascii="PT Astra Serif" w:eastAsia="PT Astra Serif" w:hAnsi="PT Astra Serif" w:cs="PT Astra Serif"/>
          <w:sz w:val="28"/>
          <w:szCs w:val="28"/>
        </w:rPr>
        <w:t>Облигаций является указание ставки купонного дохода на первый купонный период в процентах годовых, цены Облигаций в процентах от номинальной стоимости Облиг</w:t>
      </w:r>
      <w:r>
        <w:rPr>
          <w:rFonts w:ascii="PT Astra Serif" w:eastAsia="PT Astra Serif" w:hAnsi="PT Astra Serif" w:cs="PT Astra Serif"/>
          <w:sz w:val="28"/>
          <w:szCs w:val="28"/>
        </w:rPr>
        <w:t>аций и количества приобретаемых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Эмитент устанавливает ставку купонного дохода на первый купонный период по Облигациям с учетом приемлемой стоимости заимствования на основании поданных участниками конкурса заявок. Генеральный агент удовлетворяет </w:t>
      </w:r>
      <w:r>
        <w:rPr>
          <w:rFonts w:ascii="PT Astra Serif" w:eastAsia="PT Astra Serif" w:hAnsi="PT Astra Serif" w:cs="PT Astra Serif"/>
          <w:sz w:val="28"/>
          <w:szCs w:val="28"/>
        </w:rPr>
        <w:t>только те заявки участников конкурса, в которых ставка купонного дохода на первый купонный период по Облигациям равна или ниже ставки купонного дохода на первый купонный период, установленной Эмитентом.</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Заявки на покупку Облигаций удовлетворяются на услови</w:t>
      </w:r>
      <w:r>
        <w:rPr>
          <w:rFonts w:ascii="PT Astra Serif" w:eastAsia="PT Astra Serif" w:hAnsi="PT Astra Serif" w:cs="PT Astra Serif"/>
          <w:sz w:val="28"/>
          <w:szCs w:val="28"/>
        </w:rPr>
        <w:t>ях приоритета заявок на покупку Облигаций с минимальной ставкой купонного дохода на первый купонный период, то есть в первую очередь удовлетворяются заявки на покупку Облигаций, в которых указана меньшая ставка купонного дохода на первый купонный период. Е</w:t>
      </w:r>
      <w:r>
        <w:rPr>
          <w:rFonts w:ascii="PT Astra Serif" w:eastAsia="PT Astra Serif" w:hAnsi="PT Astra Serif" w:cs="PT Astra Serif"/>
          <w:sz w:val="28"/>
          <w:szCs w:val="28"/>
        </w:rPr>
        <w:t>сли с одинаковой ставкой купонного дохода на первый купонный период зарегистрировано несколько заявок на покупку Облигаций, то в первую очередь удовлетворяются заявки на покупку Облигаций, поданные ранее по времени. Количество Облигаций, указанных в заявке</w:t>
      </w:r>
      <w:r>
        <w:rPr>
          <w:rFonts w:ascii="PT Astra Serif" w:eastAsia="PT Astra Serif" w:hAnsi="PT Astra Serif" w:cs="PT Astra Serif"/>
          <w:sz w:val="28"/>
          <w:szCs w:val="28"/>
        </w:rPr>
        <w:t xml:space="preserve"> на покупку облигаций, не влияет на ее приоритет. В случае если объем последней из удовлетворяемых заявок на покупку Облигаций превышает количество Облигаций, оставшихся неразмещенными, то данная заявка на покупку Облигаций удовлетворяется в размере неразм</w:t>
      </w:r>
      <w:r>
        <w:rPr>
          <w:rFonts w:ascii="PT Astra Serif" w:eastAsia="PT Astra Serif" w:hAnsi="PT Astra Serif" w:cs="PT Astra Serif"/>
          <w:sz w:val="28"/>
          <w:szCs w:val="28"/>
        </w:rPr>
        <w:t>ещенного остатка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Информация о размере процентной ставки купонного дохода на первый купонный период размещается на официальном сайте Эмитента в информационно-телекоммуникационной сети Интернет в дату начала размещения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17. Размещение Облигаций путем Сбора адресных</w:t>
      </w:r>
      <w:r>
        <w:rPr>
          <w:rFonts w:ascii="PT Astra Serif" w:eastAsia="PT Astra Serif" w:hAnsi="PT Astra Serif" w:cs="PT Astra Serif"/>
          <w:sz w:val="28"/>
          <w:szCs w:val="28"/>
        </w:rPr>
        <w:t xml:space="preserve"> заявок по купону или Сбора адресных заявок по цене.</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Генеральный агент по поручению Эмитента направляет адресованное неопределенному кругу лиц приглашение делать предложение о приобретении Облигаций (далее - Оферта). Генеральный агент раскрывает информацию</w:t>
      </w:r>
      <w:r>
        <w:rPr>
          <w:rFonts w:ascii="PT Astra Serif" w:eastAsia="PT Astra Serif" w:hAnsi="PT Astra Serif" w:cs="PT Astra Serif"/>
          <w:sz w:val="28"/>
          <w:szCs w:val="28"/>
        </w:rPr>
        <w:t xml:space="preserve"> о сроках и порядке направления Оферт на своем сайте в сети Интернет.</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Потенциальные покупатели Облигаций направляют Оферты в адрес Генерального агента в сроки и в порядке, установленные в Решении об эмиссии, с указанием минимальной ставки купонного дохода </w:t>
      </w:r>
      <w:r>
        <w:rPr>
          <w:rFonts w:ascii="PT Astra Serif" w:eastAsia="PT Astra Serif" w:hAnsi="PT Astra Serif" w:cs="PT Astra Serif"/>
          <w:sz w:val="28"/>
          <w:szCs w:val="28"/>
        </w:rPr>
        <w:t>на первый купонный период, приемлемой для потенциального покупателя, при размещении Облигаций путем Сбора адресных заявок по купону, или максимально приемлемой цены размещения при размещении Облигаций путем Сбора адресных заявок по цене, максимальной суммы</w:t>
      </w:r>
      <w:r>
        <w:rPr>
          <w:rFonts w:ascii="PT Astra Serif" w:eastAsia="PT Astra Serif" w:hAnsi="PT Astra Serif" w:cs="PT Astra Serif"/>
          <w:sz w:val="28"/>
          <w:szCs w:val="28"/>
        </w:rPr>
        <w:t>, на которую он готов купить Облигации, и количества приобретаемых Облигаций, при этом потенциальный покупатель соглашается, что любая оферта может быть отклонена, акцептована полностью или в части по усмотрению Эмитента.</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После окончания срока для направле</w:t>
      </w:r>
      <w:r>
        <w:rPr>
          <w:rFonts w:ascii="PT Astra Serif" w:eastAsia="PT Astra Serif" w:hAnsi="PT Astra Serif" w:cs="PT Astra Serif"/>
          <w:sz w:val="28"/>
          <w:szCs w:val="28"/>
        </w:rPr>
        <w:t xml:space="preserve">ния Оферт Генеральный агент формирует и передает Эмитенту сводный реестр Оферт. На основании анализа </w:t>
      </w:r>
      <w:r>
        <w:rPr>
          <w:rFonts w:ascii="PT Astra Serif" w:eastAsia="PT Astra Serif" w:hAnsi="PT Astra Serif" w:cs="PT Astra Serif"/>
          <w:sz w:val="28"/>
          <w:szCs w:val="28"/>
        </w:rPr>
        <w:t>сводного реестра Оферт и с учетом приемлемой стоимости заимствования Эмитент принимает решение о величине ставки купонного дохода на первый купонный период</w:t>
      </w:r>
      <w:r>
        <w:rPr>
          <w:rFonts w:ascii="PT Astra Serif" w:eastAsia="PT Astra Serif" w:hAnsi="PT Astra Serif" w:cs="PT Astra Serif"/>
          <w:sz w:val="28"/>
          <w:szCs w:val="28"/>
        </w:rPr>
        <w:t xml:space="preserve"> при размещении Облигаций путем Сбора адресных заявок по купону или цены размещения при размещении путем Сбора адресных заявок по цене и определяет потенциальных покупателей, которым он намеревается продать Облигации, а также количество Облигаций, которые </w:t>
      </w:r>
      <w:r>
        <w:rPr>
          <w:rFonts w:ascii="PT Astra Serif" w:eastAsia="PT Astra Serif" w:hAnsi="PT Astra Serif" w:cs="PT Astra Serif"/>
          <w:sz w:val="28"/>
          <w:szCs w:val="28"/>
        </w:rPr>
        <w:t>он намеревается продать потенциальным покупателям. В случае акцепта Оферты участник размещения соглашается, что количество Облигаций, указанное в Оферте, может быть уменьшено Эмитентом. Генеральный агент направляет акцепт на Оферты потенциальным покупателя</w:t>
      </w:r>
      <w:r>
        <w:rPr>
          <w:rFonts w:ascii="PT Astra Serif" w:eastAsia="PT Astra Serif" w:hAnsi="PT Astra Serif" w:cs="PT Astra Serif"/>
          <w:sz w:val="28"/>
          <w:szCs w:val="28"/>
        </w:rPr>
        <w:t>м, которые определены Эмитентом.</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Заключение сделок купли-продажи Облигаций осуществляется с использованием системы торгов Организатора торговли по цене размещения, равной номинальной стоимости Облигаций, и ставке купонного дохода на первый купонный период,</w:t>
      </w:r>
      <w:r>
        <w:rPr>
          <w:rFonts w:ascii="PT Astra Serif" w:eastAsia="PT Astra Serif" w:hAnsi="PT Astra Serif" w:cs="PT Astra Serif"/>
          <w:sz w:val="28"/>
          <w:szCs w:val="28"/>
        </w:rPr>
        <w:t xml:space="preserve"> определенной Эмитентом в порядке, указанном в настоящих Условиях эмиссии и в Решении об эмиссии при размещении Облигаций путем Сбора адресных заявок по купону или по установленной Эмитентом цене размещения и с процентными ставками купонного дохода или пор</w:t>
      </w:r>
      <w:r>
        <w:rPr>
          <w:rFonts w:ascii="PT Astra Serif" w:eastAsia="PT Astra Serif" w:hAnsi="PT Astra Serif" w:cs="PT Astra Serif"/>
          <w:sz w:val="28"/>
          <w:szCs w:val="28"/>
        </w:rPr>
        <w:t>ядком их определения по всем купонным периодам (ставки всех купонов), заранее определенными Эмитентом, при размещении Облигаций путем Сбора адресных заявок по цене.</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В дату начала размещения Облигаций участники торгов Организатора торговли в течение периода</w:t>
      </w:r>
      <w:r>
        <w:rPr>
          <w:rFonts w:ascii="PT Astra Serif" w:eastAsia="PT Astra Serif" w:hAnsi="PT Astra Serif" w:cs="PT Astra Serif"/>
          <w:sz w:val="28"/>
          <w:szCs w:val="28"/>
        </w:rPr>
        <w:t xml:space="preserve"> подачи адресных заявок на покупку Облигаций, установленного Организатором торговли, подают адресные заявки на покупку Облигаций с использованием системы торгов Организатора торговли, как за свой счет, так и за счет и по поручению клиентов. Адресные заявки</w:t>
      </w:r>
      <w:r>
        <w:rPr>
          <w:rFonts w:ascii="PT Astra Serif" w:eastAsia="PT Astra Serif" w:hAnsi="PT Astra Serif" w:cs="PT Astra Serif"/>
          <w:sz w:val="28"/>
          <w:szCs w:val="28"/>
        </w:rPr>
        <w:t xml:space="preserve"> на приобретение Облигаций направляются участниками торгов в адрес Генерального агента.</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Адресная заявка на приобретение Облигаций должна содержать цену покупки в процентах от номинальной стоимости Облигаций, количество Облигаций, а также иную информацию в </w:t>
      </w:r>
      <w:r>
        <w:rPr>
          <w:rFonts w:ascii="PT Astra Serif" w:eastAsia="PT Astra Serif" w:hAnsi="PT Astra Serif" w:cs="PT Astra Serif"/>
          <w:sz w:val="28"/>
          <w:szCs w:val="28"/>
        </w:rPr>
        <w:t>соответствии с правилами проведения торгов по ценным бумагам Организатора торговли.</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Организатор торговли составляет сводный реестр адресных заявок на покупку Облигаций, полученных в течение периода подачи адресных заявок на покупку Облигаций, и передает ег</w:t>
      </w:r>
      <w:r>
        <w:rPr>
          <w:rFonts w:ascii="PT Astra Serif" w:eastAsia="PT Astra Serif" w:hAnsi="PT Astra Serif" w:cs="PT Astra Serif"/>
          <w:sz w:val="28"/>
          <w:szCs w:val="28"/>
        </w:rPr>
        <w:t>о Генеральному агенту. Генеральный агент передает вышеуказанный сводный реестр адресных заявок на покупку Облигаций Эмитенту.</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На основании анализа сводного реестра адресных заявок на покупку Облигаций Эмитент принимает решение об удовлетворении адресных за</w:t>
      </w:r>
      <w:r>
        <w:rPr>
          <w:rFonts w:ascii="PT Astra Serif" w:eastAsia="PT Astra Serif" w:hAnsi="PT Astra Serif" w:cs="PT Astra Serif"/>
          <w:sz w:val="28"/>
          <w:szCs w:val="28"/>
        </w:rPr>
        <w:t>явок, руководствуясь наличием акцепта оферты о приобретении Облигаций.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Эмитент передает Генеральному агенту информацию об адресных заявках на покупку Облигаций, которые будут удовлетворены, после чего Эмитент в лице Генерального агента заключает сделки куп</w:t>
      </w:r>
      <w:r>
        <w:rPr>
          <w:rFonts w:ascii="PT Astra Serif" w:eastAsia="PT Astra Serif" w:hAnsi="PT Astra Serif" w:cs="PT Astra Serif"/>
          <w:sz w:val="28"/>
          <w:szCs w:val="28"/>
        </w:rPr>
        <w:t xml:space="preserve">ли-продажи Облигаций с покупателями путем выставления встречных адресных заявок с указанием количества Облигаций, которые будут проданы покупателям, согласно порядку, </w:t>
      </w:r>
      <w:r>
        <w:rPr>
          <w:rFonts w:ascii="PT Astra Serif" w:eastAsia="PT Astra Serif" w:hAnsi="PT Astra Serif" w:cs="PT Astra Serif"/>
          <w:sz w:val="28"/>
          <w:szCs w:val="28"/>
        </w:rPr>
        <w:t>установленному настоящими Условиями эмиссии, Решением об эмиссии и правилами проведения т</w:t>
      </w:r>
      <w:r>
        <w:rPr>
          <w:rFonts w:ascii="PT Astra Serif" w:eastAsia="PT Astra Serif" w:hAnsi="PT Astra Serif" w:cs="PT Astra Serif"/>
          <w:sz w:val="28"/>
          <w:szCs w:val="28"/>
        </w:rPr>
        <w:t>оргов Организатора торговли.</w:t>
      </w:r>
    </w:p>
    <w:p>
      <w:pPr>
        <w:ind w:firstLine="709"/>
        <w:jc w:val="both"/>
        <w:rPr>
          <w:rFonts w:ascii="PT Astra Serif" w:hAnsi="PT Astra Serif" w:cs="PT Astra Serif"/>
          <w:sz w:val="28"/>
          <w:szCs w:val="28"/>
          <w:highlight w:val="white"/>
        </w:rPr>
      </w:pPr>
      <w:r>
        <w:rPr>
          <w:rFonts w:ascii="PT Astra Serif" w:eastAsia="PT Astra Serif" w:hAnsi="PT Astra Serif" w:cs="PT Astra Serif"/>
          <w:sz w:val="28"/>
          <w:szCs w:val="28"/>
        </w:rPr>
        <w:t>Информация о размере процентной ставки купонного дохода на первый купонный период при размещении Облигаций путем Сбора адресных заявок по купону размещается на официальном сайте Эмитента в информационно-телекоммуникационной сет</w:t>
      </w:r>
      <w:r>
        <w:rPr>
          <w:rFonts w:ascii="PT Astra Serif" w:eastAsia="PT Astra Serif" w:hAnsi="PT Astra Serif" w:cs="PT Astra Serif"/>
          <w:sz w:val="28"/>
          <w:szCs w:val="28"/>
        </w:rPr>
        <w:t>и Интернет не позднее даты начала размещения Облигаций. Информация о цене размещения при размещении Облигаций путем Сбора адресных заявок по цене размещается на официальном сайте Эмитента в информационно-тел</w:t>
      </w:r>
      <w:r>
        <w:rPr>
          <w:rFonts w:ascii="PT Astra Serif" w:eastAsia="PT Astra Serif" w:hAnsi="PT Astra Serif" w:cs="PT Astra Serif"/>
          <w:sz w:val="28"/>
          <w:szCs w:val="28"/>
          <w:highlight w:val="white"/>
        </w:rPr>
        <w:t>екоммуникационной сети Интернет не позднее чем за</w:t>
      </w:r>
      <w:r>
        <w:rPr>
          <w:rFonts w:ascii="PT Astra Serif" w:eastAsia="PT Astra Serif" w:hAnsi="PT Astra Serif" w:cs="PT Astra Serif"/>
          <w:sz w:val="28"/>
          <w:szCs w:val="28"/>
          <w:highlight w:val="white"/>
        </w:rPr>
        <w:t xml:space="preserve"> 2 (два) рабочих дня до даты нач</w:t>
      </w:r>
      <w:r>
        <w:rPr>
          <w:rFonts w:ascii="PT Astra Serif" w:eastAsia="PT Astra Serif" w:hAnsi="PT Astra Serif" w:cs="PT Astra Serif"/>
          <w:sz w:val="28"/>
          <w:szCs w:val="28"/>
          <w:highlight w:val="white"/>
        </w:rPr>
        <w:t>ала</w:t>
      </w:r>
      <w:r>
        <w:rPr>
          <w:rFonts w:ascii="PT Astra Serif" w:eastAsia="PT Astra Serif" w:hAnsi="PT Astra Serif" w:cs="PT Astra Serif"/>
          <w:sz w:val="28"/>
          <w:szCs w:val="28"/>
          <w:highlight w:val="white"/>
        </w:rPr>
        <w:t xml:space="preserve"> размещения Облигаций.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highlight w:val="white"/>
        </w:rPr>
        <w:t>18. Размещение Облигаций, ранее не размещенных в предусмотренном пунктами 15-17 настоящих Условий эмиссии порядке, может осуществляться в соответствии с законодательств</w:t>
      </w:r>
      <w:r>
        <w:rPr>
          <w:rFonts w:ascii="PT Astra Serif" w:eastAsia="PT Astra Serif" w:hAnsi="PT Astra Serif" w:cs="PT Astra Serif"/>
          <w:sz w:val="28"/>
          <w:szCs w:val="28"/>
        </w:rPr>
        <w:t>ом Российской Федерации, насто</w:t>
      </w:r>
      <w:r>
        <w:rPr>
          <w:rFonts w:ascii="PT Astra Serif" w:eastAsia="PT Astra Serif" w:hAnsi="PT Astra Serif" w:cs="PT Astra Serif"/>
          <w:sz w:val="28"/>
          <w:szCs w:val="28"/>
        </w:rPr>
        <w:t>ящими Условиями эмиссии, Решением об эмиссии путем заключения сделок купли-продажи между Эмитентом (Генеральным агентом) и первыми владельцами Облигаций по цене/ценам, указанной/указанным Эмитентом, на торгах, проводимых у Организатора торговли, в порядке,</w:t>
      </w:r>
      <w:r>
        <w:rPr>
          <w:rFonts w:ascii="PT Astra Serif" w:eastAsia="PT Astra Serif" w:hAnsi="PT Astra Serif" w:cs="PT Astra Serif"/>
          <w:sz w:val="28"/>
          <w:szCs w:val="28"/>
        </w:rPr>
        <w:t xml:space="preserve"> предусмотренном правилами проведения торгов по ценным бумагам Организатора торговли.</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19. Начиная со дня, следующего за датой начала размещения Облигаций, покупатель при совершении сделки купли-продажи Облигаций уплачивает Эмитенту в лице Генерального аген</w:t>
      </w:r>
      <w:r>
        <w:rPr>
          <w:rFonts w:ascii="PT Astra Serif" w:eastAsia="PT Astra Serif" w:hAnsi="PT Astra Serif" w:cs="PT Astra Serif"/>
          <w:sz w:val="28"/>
          <w:szCs w:val="28"/>
        </w:rPr>
        <w:t xml:space="preserve">та цену Облигации, а также уплачивает накопленный купонный доход по Облигациям, рассчитанный на дату совершения сделки по формуле, указанной в </w:t>
      </w:r>
      <w:hyperlink r:id="rId6" w:tooltip="https://login.consultant.ru/link/?req=doc&amp;base=RLAW049&amp;n=175638&amp;dst=100096" w:history="1">
        <w:r>
          <w:rPr>
            <w:rFonts w:ascii="PT Astra Serif" w:eastAsia="PT Astra Serif" w:hAnsi="PT Astra Serif" w:cs="PT Astra Serif"/>
            <w:sz w:val="28"/>
            <w:szCs w:val="28"/>
          </w:rPr>
          <w:t>пункте</w:t>
        </w:r>
      </w:hyperlink>
      <w:r>
        <w:rPr>
          <w:rFonts w:ascii="PT Astra Serif" w:eastAsia="PT Astra Serif" w:hAnsi="PT Astra Serif" w:cs="PT Astra Serif"/>
          <w:sz w:val="28"/>
          <w:szCs w:val="28"/>
        </w:rPr>
        <w:t> 25 настоящих Условий эмиссии.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20. Обращение Облигаций на вторичном рынке осуществляется путем заключения гражданско-правовых сделок как у Организатора торговли, так и вне Организатора торговл</w:t>
      </w:r>
      <w:r>
        <w:rPr>
          <w:rFonts w:ascii="PT Astra Serif" w:eastAsia="PT Astra Serif" w:hAnsi="PT Astra Serif" w:cs="PT Astra Serif"/>
          <w:sz w:val="28"/>
          <w:szCs w:val="28"/>
        </w:rPr>
        <w:t>и в соответствии с законодательством Российской Федерации, настоящими Условиями эмиссии и Решением об эмиссии.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21. </w:t>
      </w:r>
      <w:r>
        <w:rPr>
          <w:rFonts w:ascii="PT Astra Serif" w:eastAsia="PT Astra Serif" w:hAnsi="PT Astra Serif" w:cs="PT Astra Serif"/>
          <w:sz w:val="28"/>
          <w:szCs w:val="28"/>
        </w:rPr>
        <w:t>Все расчеты по Облигациям производятся в валюте Российской Федерации.</w:t>
      </w:r>
    </w:p>
    <w:p>
      <w:pPr>
        <w:pStyle w:val="ConsPlusNormal"/>
        <w:ind w:firstLine="709"/>
        <w:jc w:val="both"/>
        <w:rPr>
          <w:rFonts w:ascii="PT Astra Serif" w:hAnsi="PT Astra Serif" w:cs="PT Astra Serif"/>
          <w:sz w:val="28"/>
          <w:szCs w:val="28"/>
        </w:rPr>
      </w:pPr>
    </w:p>
    <w:p>
      <w:pPr>
        <w:pStyle w:val="ConsPlusNormal"/>
        <w:jc w:val="center"/>
        <w:outlineLvl w:val="1"/>
        <w:rPr>
          <w:rFonts w:ascii="PT Astra Serif" w:hAnsi="PT Astra Serif" w:cs="PT Astra Serif"/>
          <w:sz w:val="28"/>
          <w:szCs w:val="28"/>
        </w:rPr>
      </w:pPr>
      <w:r>
        <w:rPr>
          <w:rFonts w:ascii="PT Astra Serif" w:eastAsia="PT Astra Serif" w:hAnsi="PT Astra Serif" w:cs="PT Astra Serif"/>
          <w:sz w:val="28"/>
          <w:szCs w:val="28"/>
        </w:rPr>
        <w:t>3. Получение доходов по облигациям и погашение Облигаций</w:t>
      </w:r>
    </w:p>
    <w:p>
      <w:pPr>
        <w:pStyle w:val="ConsPlusNormal"/>
        <w:ind w:left="567" w:firstLine="709"/>
        <w:jc w:val="center"/>
        <w:outlineLvl w:val="1"/>
        <w:rPr>
          <w:rFonts w:ascii="PT Astra Serif" w:hAnsi="PT Astra Serif" w:cs="PT Astra Serif"/>
          <w:sz w:val="28"/>
          <w:szCs w:val="28"/>
        </w:rPr>
      </w:pP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22. Доходом </w:t>
      </w:r>
      <w:r>
        <w:rPr>
          <w:rFonts w:ascii="PT Astra Serif" w:eastAsia="PT Astra Serif" w:hAnsi="PT Astra Serif" w:cs="PT Astra Serif"/>
          <w:sz w:val="28"/>
          <w:szCs w:val="28"/>
        </w:rPr>
        <w:t>по Облигациям является переменный купонный доход, а также разница меж</w:t>
      </w:r>
      <w:r>
        <w:rPr>
          <w:rFonts w:ascii="PT Astra Serif" w:eastAsia="PT Astra Serif" w:hAnsi="PT Astra Serif" w:cs="PT Astra Serif"/>
          <w:sz w:val="28"/>
          <w:szCs w:val="28"/>
        </w:rPr>
        <w:t>ду ценой реализации (погашения) и ценой</w:t>
      </w:r>
      <w:r>
        <w:rPr>
          <w:rFonts w:ascii="PT Astra Serif" w:eastAsia="PT Astra Serif" w:hAnsi="PT Astra Serif" w:cs="PT Astra Serif"/>
          <w:sz w:val="28"/>
          <w:szCs w:val="28"/>
        </w:rPr>
        <w:t xml:space="preserve"> покупки Облигаций. Купонный доход как абсолютная величина в рублях определяется исходя из размера ставки купонного дохода.</w:t>
      </w:r>
    </w:p>
    <w:p>
      <w:pPr>
        <w:pStyle w:val="ConsPlusNormal"/>
        <w:shd w:val="clear" w:color="FFFFFF" w:fill="FFFFFF" w:themeColor="background1" w:themeFill="background1"/>
        <w:ind w:firstLine="709"/>
        <w:jc w:val="both"/>
        <w:rPr>
          <w:rFonts w:ascii="PT Astra Serif" w:hAnsi="PT Astra Serif" w:cs="PT Astra Serif"/>
          <w:sz w:val="26"/>
          <w:szCs w:val="26"/>
        </w:rPr>
      </w:pPr>
      <w:bookmarkStart w:id="3" w:name="undefined"/>
      <w:bookmarkEnd w:id="3"/>
      <w:r>
        <w:rPr>
          <w:rFonts w:ascii="PT Astra Serif" w:eastAsia="PT Astra Serif" w:hAnsi="PT Astra Serif" w:cs="PT Astra Serif"/>
          <w:sz w:val="28"/>
          <w:szCs w:val="28"/>
        </w:rPr>
        <w:t>23. Купонный доход по Облигациям определяется на основе значений кривой бескупонной доходности по облигациям федеральных займов, или ключевой ставки Банка России, или ставки RUONIA. Указание на конкретный индикатор финансового рынка, а также порядок расчет</w:t>
      </w:r>
      <w:r>
        <w:rPr>
          <w:rFonts w:ascii="PT Astra Serif" w:eastAsia="PT Astra Serif" w:hAnsi="PT Astra Serif" w:cs="PT Astra Serif"/>
          <w:sz w:val="28"/>
          <w:szCs w:val="28"/>
        </w:rPr>
        <w:t>а купонного дохода будет указан в Решении об эмиссии.</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Величина купонного дохода рассчитывается отдельно для каждого периода выплаты купонного дохода и объявляется по купонам, начиная со </w:t>
      </w:r>
      <w:r>
        <w:rPr>
          <w:rFonts w:ascii="PT Astra Serif" w:eastAsia="PT Astra Serif" w:hAnsi="PT Astra Serif" w:cs="PT Astra Serif"/>
          <w:sz w:val="28"/>
          <w:szCs w:val="28"/>
        </w:rPr>
        <w:t>второго и включая последний купонные периоды - не позднее чем за два р</w:t>
      </w:r>
      <w:r>
        <w:rPr>
          <w:rFonts w:ascii="PT Astra Serif" w:eastAsia="PT Astra Serif" w:hAnsi="PT Astra Serif" w:cs="PT Astra Serif"/>
          <w:sz w:val="28"/>
          <w:szCs w:val="28"/>
        </w:rPr>
        <w:t>абочих дня до даты выплаты дохода по предшествующему купону.</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Величина процентной ставки по первому купонному периоду раскрывается не позднее даты начала размещения Облигаций.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Проценты по первому купону начисляются с календарного дня, следующего за датой размещения (датой начала размещения) Облигаций, по дату окончания первого купонного периода.</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Проценты по купонам, начиная со второго и включая последний купонные периоды, начисл</w:t>
      </w:r>
      <w:r>
        <w:rPr>
          <w:rFonts w:ascii="PT Astra Serif" w:eastAsia="PT Astra Serif" w:hAnsi="PT Astra Serif" w:cs="PT Astra Serif"/>
          <w:sz w:val="28"/>
          <w:szCs w:val="28"/>
        </w:rPr>
        <w:t>яются с календарного дня, следующего за датой окончания предшествующего купонного периода, по дату окончания текущего купонного периода (дату погашения).</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24. Величина купонного дохода в рублях на одну облигацию определяется по формуле:</w:t>
      </w:r>
    </w:p>
    <w:p>
      <w:pPr>
        <w:pStyle w:val="ConsPlusNormal"/>
        <w:ind w:firstLine="709"/>
        <w:jc w:val="center"/>
        <w:rPr>
          <w:rFonts w:ascii="PT Astra Serif" w:hAnsi="PT Astra Serif" w:cs="PT Astra Serif"/>
          <w:sz w:val="28"/>
          <w:szCs w:val="28"/>
        </w:rPr>
      </w:pPr>
      <w:r>
        <w:rPr>
          <w:rFonts w:ascii="PT Astra Serif" w:eastAsia="PT Astra Serif" w:hAnsi="PT Astra Serif" w:cs="PT Astra Serif"/>
          <w:sz w:val="28"/>
          <w:szCs w:val="28"/>
          <w:lang w:val="en-US"/>
        </w:rPr>
        <w:t>Cj</w:t>
      </w:r>
      <w:r>
        <w:rPr>
          <w:rFonts w:ascii="PT Astra Serif" w:eastAsia="PT Astra Serif" w:hAnsi="PT Astra Serif" w:cs="PT Astra Serif"/>
          <w:sz w:val="28"/>
          <w:szCs w:val="28"/>
        </w:rPr>
        <w:t xml:space="preserve"> = </w:t>
      </w:r>
      <w:r>
        <w:rPr>
          <w:rFonts w:ascii="PT Astra Serif" w:eastAsia="PT Astra Serif" w:hAnsi="PT Astra Serif" w:cs="PT Astra Serif"/>
          <w:sz w:val="28"/>
          <w:szCs w:val="28"/>
          <w:lang w:val="en-US"/>
        </w:rPr>
        <w:t>Nj</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8"/>
          <w:lang w:val="en-US"/>
        </w:rPr>
        <w:t>x</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8"/>
          <w:lang w:val="en-US"/>
        </w:rPr>
        <w:t>Rj</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8"/>
          <w:lang w:val="en-US"/>
        </w:rPr>
        <w:t>x</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8"/>
          <w:lang w:val="en-US"/>
        </w:rPr>
        <w:t>Tj</w:t>
      </w:r>
      <w:r>
        <w:rPr>
          <w:rFonts w:ascii="PT Astra Serif" w:eastAsia="PT Astra Serif" w:hAnsi="PT Astra Serif" w:cs="PT Astra Serif"/>
          <w:sz w:val="28"/>
          <w:szCs w:val="28"/>
        </w:rPr>
        <w:t xml:space="preserve"> / </w:t>
      </w:r>
      <w:r>
        <w:rPr>
          <w:rFonts w:ascii="PT Astra Serif" w:eastAsia="PT Astra Serif" w:hAnsi="PT Astra Serif" w:cs="PT Astra Serif"/>
          <w:sz w:val="28"/>
          <w:szCs w:val="28"/>
        </w:rPr>
        <w:t xml:space="preserve">(365 </w:t>
      </w:r>
      <w:r>
        <w:rPr>
          <w:rFonts w:ascii="PT Astra Serif" w:eastAsia="PT Astra Serif" w:hAnsi="PT Astra Serif" w:cs="PT Astra Serif"/>
          <w:sz w:val="28"/>
          <w:szCs w:val="28"/>
          <w:lang w:val="en-US"/>
        </w:rPr>
        <w:t>x</w:t>
      </w:r>
      <w:r>
        <w:rPr>
          <w:rFonts w:ascii="PT Astra Serif" w:eastAsia="PT Astra Serif" w:hAnsi="PT Astra Serif" w:cs="PT Astra Serif"/>
          <w:sz w:val="28"/>
          <w:szCs w:val="28"/>
        </w:rPr>
        <w:t xml:space="preserve"> 100%), где:</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C</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 xml:space="preserve"> - величина купонного дохода за </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-й купонный период, в рублях;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N</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 xml:space="preserve"> – номинальная стоимость (непогашенная часть номинальной стоимости) одной Облигации, в рублях;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R</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 xml:space="preserve"> – ставка купонного дохода по </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-му купонному периоду, в процентах годовых</w:t>
      </w:r>
      <w:r>
        <w:rPr>
          <w:rFonts w:ascii="PT Astra Serif" w:eastAsia="PT Astra Serif" w:hAnsi="PT Astra Serif" w:cs="PT Astra Serif"/>
          <w:sz w:val="28"/>
          <w:szCs w:val="28"/>
        </w:rPr>
        <w:t>;</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T</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 xml:space="preserve"> – длительность </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-го купонного периода, дней;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 xml:space="preserve"> - порядковый номер купонного периода.</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Сумма выплаты по купонному доходу в расчете на одну Облигацию определяется с точностью до одной копейки (округление производится по правилу математического округления</w:t>
      </w:r>
      <w:r>
        <w:rPr>
          <w:rFonts w:ascii="PT Astra Serif" w:eastAsia="PT Astra Serif" w:hAnsi="PT Astra Serif" w:cs="PT Astra Serif"/>
          <w:sz w:val="28"/>
          <w:szCs w:val="28"/>
        </w:rPr>
        <w:t>, а именно: в случае если третий знак после запятой больше или равен 5, второй знак после запятой увеличивается на единицу, в случае если третий знак после запятой меньше 5, второй знак после запятой не изменяется).</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Даты начала и окончания купонных периодо</w:t>
      </w:r>
      <w:r>
        <w:rPr>
          <w:rFonts w:ascii="PT Astra Serif" w:eastAsia="PT Astra Serif" w:hAnsi="PT Astra Serif" w:cs="PT Astra Serif"/>
          <w:sz w:val="28"/>
          <w:szCs w:val="28"/>
        </w:rPr>
        <w:t>в, длительность купонных периодов устанавливаются в Решении об эмиссии.</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25. При обращении Облигаций на вторичном рынке, а также при размещении Облигаций в период с даты, следующей за датой начала размещения Облигаций, до даты окончания размещения Облигаций</w:t>
      </w:r>
      <w:r>
        <w:rPr>
          <w:rFonts w:ascii="PT Astra Serif" w:eastAsia="PT Astra Serif" w:hAnsi="PT Astra Serif" w:cs="PT Astra Serif"/>
          <w:sz w:val="28"/>
          <w:szCs w:val="28"/>
        </w:rPr>
        <w:t xml:space="preserve"> при совершении сделок купли-продажи Облигаций покупатель уплачивает продавцу цену Облигаций, а также накопленный купонный доход на одну Облигацию, который рассчитывается на текущую дату по формуле:</w:t>
      </w:r>
    </w:p>
    <w:p>
      <w:pPr>
        <w:pStyle w:val="ConsPlusNormal"/>
        <w:ind w:firstLine="709"/>
        <w:jc w:val="center"/>
        <w:rPr>
          <w:rFonts w:ascii="PT Astra Serif" w:hAnsi="PT Astra Serif" w:cs="PT Astra Serif"/>
          <w:sz w:val="28"/>
          <w:szCs w:val="28"/>
        </w:rPr>
      </w:pPr>
      <w:r>
        <w:rPr>
          <w:rFonts w:ascii="PT Astra Serif" w:eastAsia="PT Astra Serif" w:hAnsi="PT Astra Serif" w:cs="PT Astra Serif"/>
          <w:sz w:val="28"/>
          <w:szCs w:val="28"/>
        </w:rPr>
        <w:t>НКД = N</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 xml:space="preserve"> x </w:t>
      </w:r>
      <w:r>
        <w:rPr>
          <w:rFonts w:ascii="PT Astra Serif" w:eastAsia="PT Astra Serif" w:hAnsi="PT Astra Serif" w:cs="PT Astra Serif"/>
          <w:sz w:val="28"/>
          <w:szCs w:val="28"/>
          <w:lang w:val="en-US"/>
        </w:rPr>
        <w:t>Rj</w:t>
      </w:r>
      <w:r>
        <w:rPr>
          <w:rFonts w:ascii="PT Astra Serif" w:eastAsia="PT Astra Serif" w:hAnsi="PT Astra Serif" w:cs="PT Astra Serif"/>
          <w:sz w:val="28"/>
          <w:szCs w:val="28"/>
        </w:rPr>
        <w:t xml:space="preserve"> х ((Т - T(</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-1)) / 365) / 100%, где:</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НКД -</w:t>
      </w:r>
      <w:r>
        <w:rPr>
          <w:rFonts w:ascii="PT Astra Serif" w:eastAsia="PT Astra Serif" w:hAnsi="PT Astra Serif" w:cs="PT Astra Serif"/>
          <w:sz w:val="28"/>
          <w:szCs w:val="28"/>
        </w:rPr>
        <w:t xml:space="preserve"> н</w:t>
      </w:r>
      <w:r>
        <w:rPr>
          <w:rFonts w:ascii="PT Astra Serif" w:eastAsia="PT Astra Serif" w:hAnsi="PT Astra Serif" w:cs="PT Astra Serif"/>
          <w:sz w:val="28"/>
          <w:szCs w:val="28"/>
        </w:rPr>
        <w:t>акопленный купонный доход на одну Облигацию, в рублях;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N</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 xml:space="preserve"> – номинальная стоимость (непогашенная часть номинальной стоимости) одной Облигации, в рублях;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lang w:val="en-US"/>
        </w:rPr>
        <w:t>Rj</w:t>
      </w:r>
      <w:r>
        <w:rPr>
          <w:rFonts w:ascii="PT Astra Serif" w:eastAsia="PT Astra Serif" w:hAnsi="PT Astra Serif" w:cs="PT Astra Serif"/>
          <w:sz w:val="28"/>
          <w:szCs w:val="28"/>
        </w:rPr>
        <w:t xml:space="preserve"> – ставка купонного дохода по </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-му купонному периоду, в процентах годовых;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T(</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-1) - дата окончания пре</w:t>
      </w:r>
      <w:r>
        <w:rPr>
          <w:rFonts w:ascii="PT Astra Serif" w:eastAsia="PT Astra Serif" w:hAnsi="PT Astra Serif" w:cs="PT Astra Serif"/>
          <w:sz w:val="28"/>
          <w:szCs w:val="28"/>
        </w:rPr>
        <w:t>дыдущего купонного перио</w:t>
      </w:r>
      <w:r>
        <w:rPr>
          <w:rFonts w:ascii="PT Astra Serif" w:eastAsia="PT Astra Serif" w:hAnsi="PT Astra Serif" w:cs="PT Astra Serif"/>
          <w:sz w:val="28"/>
          <w:szCs w:val="28"/>
        </w:rPr>
        <w:t>да (для первого купонного периода - дата начала размещения Облигаций);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T – дата, на которую рассчитывается НКД внутри </w:t>
      </w: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-го купонного периода;</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lang w:val="en-US"/>
        </w:rPr>
        <w:t>j</w:t>
      </w:r>
      <w:r>
        <w:rPr>
          <w:rFonts w:ascii="PT Astra Serif" w:eastAsia="PT Astra Serif" w:hAnsi="PT Astra Serif" w:cs="PT Astra Serif"/>
          <w:sz w:val="28"/>
          <w:szCs w:val="28"/>
        </w:rPr>
        <w:t xml:space="preserve"> - порядковый номер купонного периода.</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Сумма выплаты по накопленному купонному доходу в расчете на одну Облигацию определяется с точностью до одной копейки (округление производится по правилу математического округления, а именно: в случае если третий знак после запятой больше или р</w:t>
      </w:r>
      <w:r>
        <w:rPr>
          <w:rFonts w:ascii="PT Astra Serif" w:eastAsia="PT Astra Serif" w:hAnsi="PT Astra Serif" w:cs="PT Astra Serif"/>
          <w:sz w:val="28"/>
          <w:szCs w:val="28"/>
        </w:rPr>
        <w:t>авен 5, второ</w:t>
      </w:r>
      <w:r>
        <w:rPr>
          <w:rFonts w:ascii="PT Astra Serif" w:eastAsia="PT Astra Serif" w:hAnsi="PT Astra Serif" w:cs="PT Astra Serif"/>
          <w:sz w:val="28"/>
          <w:szCs w:val="28"/>
        </w:rPr>
        <w:t>й знак после запятой увеличивается на единицу, в случае если третий знак после запятой меньше 5, второй знак после запятой не изменяется).</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26. Владельцы и иные лица, осуществляющие в соответствии с законодательством Российской Федерации права по Облигациям</w:t>
      </w:r>
      <w:r>
        <w:rPr>
          <w:rFonts w:ascii="PT Astra Serif" w:eastAsia="PT Astra Serif" w:hAnsi="PT Astra Serif" w:cs="PT Astra Serif"/>
          <w:sz w:val="28"/>
          <w:szCs w:val="28"/>
        </w:rPr>
        <w:t>, получают доходы в денежной форме по Облигациям через депозитарий, осуществляющий учет прав на Облигации, депонентами которого они являются. Депозитарный договор между депозитарием, осуществляющим учет прав на Облигации, и депонентом должен содержать поря</w:t>
      </w:r>
      <w:r>
        <w:rPr>
          <w:rFonts w:ascii="PT Astra Serif" w:eastAsia="PT Astra Serif" w:hAnsi="PT Astra Serif" w:cs="PT Astra Serif"/>
          <w:sz w:val="28"/>
          <w:szCs w:val="28"/>
        </w:rPr>
        <w:t>док передачи депоненту выплат по Облигациям.</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Эмитент исполняет обязанность по осуществлению выплат по Облигациям путем перечисления денежных средств Уполномоченному депозитарию. Указанная обязанность считается исполненной Эмитентом с даты поступления денеж</w:t>
      </w:r>
      <w:r>
        <w:rPr>
          <w:rFonts w:ascii="PT Astra Serif" w:eastAsia="PT Astra Serif" w:hAnsi="PT Astra Serif" w:cs="PT Astra Serif"/>
          <w:sz w:val="28"/>
          <w:szCs w:val="28"/>
        </w:rPr>
        <w:t>ных средств на счет Уполномоченного депозитария.</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Выплаты купонного дохода по Облигациям осуществляются в соответствии с порядком, установленным настоящими Условиями эмиссии, Решением об эмиссии и законодательством Российской Федерации.</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Купонный доход по Об</w:t>
      </w:r>
      <w:r>
        <w:rPr>
          <w:rFonts w:ascii="PT Astra Serif" w:eastAsia="PT Astra Serif" w:hAnsi="PT Astra Serif" w:cs="PT Astra Serif"/>
          <w:sz w:val="28"/>
          <w:szCs w:val="28"/>
        </w:rPr>
        <w:t>лигациям, не размещенным на дату выплаты купонного дохода, или по Облигациям, переведенным на счет депо Эмитента в Уполномоченном депозитарии, не начисляется и не выплачивается.</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 xml:space="preserve">27. Погашение номинальной стоимости Облигаций осуществляется частями (далее - </w:t>
      </w:r>
      <w:r>
        <w:rPr>
          <w:rFonts w:ascii="PT Astra Serif" w:eastAsia="PT Astra Serif" w:hAnsi="PT Astra Serif" w:cs="PT Astra Serif"/>
          <w:sz w:val="28"/>
          <w:szCs w:val="28"/>
        </w:rPr>
        <w:t>Амортизация долга) в даты и в размерах, установленных в Решении об эмиссии и совпадающие с датами выплаты купонного дохода по Облигациям.</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Владельцы Облигаций и иные лица, осуществляющие в соответствии с законодательством Российской Федерации права по Облиг</w:t>
      </w:r>
      <w:r>
        <w:rPr>
          <w:rFonts w:ascii="PT Astra Serif" w:eastAsia="PT Astra Serif" w:hAnsi="PT Astra Serif" w:cs="PT Astra Serif"/>
          <w:sz w:val="28"/>
          <w:szCs w:val="28"/>
        </w:rPr>
        <w:t>ациям, получают выплаты погашаемой части номинальной стоимости Облигаций через депозитарий, осуществляющий учет прав на Облигации, депонентами которого они являются. Депозитарный договор между депозитарием, осуществляющим учет прав на Облигации, и депонент</w:t>
      </w:r>
      <w:r>
        <w:rPr>
          <w:rFonts w:ascii="PT Astra Serif" w:eastAsia="PT Astra Serif" w:hAnsi="PT Astra Serif" w:cs="PT Astra Serif"/>
          <w:sz w:val="28"/>
          <w:szCs w:val="28"/>
        </w:rPr>
        <w:t>ом должен содержать порядок передачи депоненту выплат по Облигациям.</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Эмитент исполняет обязанность по осуществлению выплат погашаемой части номинальной стоимости</w:t>
      </w:r>
      <w:r>
        <w:rPr>
          <w:rFonts w:ascii="PT Astra Serif" w:eastAsia="PT Astra Serif" w:hAnsi="PT Astra Serif" w:cs="PT Astra Serif"/>
          <w:sz w:val="28"/>
          <w:szCs w:val="28"/>
        </w:rPr>
        <w:t xml:space="preserve"> Облигаций путем перечисления денежных средств Уполномоченному депозитарию. Указанная обязанность считается исполненной Эмитентом с даты поступления денежных средств на счет Уполномоченного депозитария.</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Выплаты погашаемой части номинальной стоимости Облига</w:t>
      </w:r>
      <w:r>
        <w:rPr>
          <w:rFonts w:ascii="PT Astra Serif" w:eastAsia="PT Astra Serif" w:hAnsi="PT Astra Serif" w:cs="PT Astra Serif"/>
          <w:sz w:val="28"/>
          <w:szCs w:val="28"/>
        </w:rPr>
        <w:t>ций осуществляются в соответствии с порядком, установленным настоящими Условиями эмиссии, Решением об эмиссии и законодательством Российской Федерации.</w:t>
      </w:r>
    </w:p>
    <w:p>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8"/>
          <w:szCs w:val="28"/>
        </w:rPr>
        <w:t>28. Датой погашения выпуска Облигаций является дата выплаты последней непогашенной части номинальной сто</w:t>
      </w:r>
      <w:r>
        <w:rPr>
          <w:rFonts w:ascii="PT Astra Serif" w:eastAsia="PT Astra Serif" w:hAnsi="PT Astra Serif" w:cs="PT Astra Serif"/>
          <w:sz w:val="28"/>
          <w:szCs w:val="28"/>
        </w:rPr>
        <w:t>имости Облигаций.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29. Если дата выплаты купонного дохода по Облигациям и (или) дата выплаты погашаемой части номинальной стоимости Облигаций выпадают на выходной день, праздничный день или иной день, не являющийся рабочим в Российской Федерации, то выплаты</w:t>
      </w:r>
      <w:r>
        <w:rPr>
          <w:rFonts w:ascii="PT Astra Serif" w:eastAsia="PT Astra Serif" w:hAnsi="PT Astra Serif" w:cs="PT Astra Serif"/>
          <w:sz w:val="28"/>
          <w:szCs w:val="28"/>
        </w:rPr>
        <w:t xml:space="preserve"> осуществляются в первый рабочий день, следующий за датой в</w:t>
      </w:r>
      <w:r>
        <w:rPr>
          <w:rFonts w:ascii="PT Astra Serif" w:eastAsia="PT Astra Serif" w:hAnsi="PT Astra Serif" w:cs="PT Astra Serif"/>
          <w:sz w:val="28"/>
          <w:szCs w:val="28"/>
        </w:rPr>
        <w:t>ыплаты купонного дохода по Облигациям и (или) датой выплаты погашаемой части номинальной стоимости Облигаций.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Владельцы Облигаций не имеют права требовать начисления процентов или какой-либо иной к</w:t>
      </w:r>
      <w:r>
        <w:rPr>
          <w:rFonts w:ascii="PT Astra Serif" w:eastAsia="PT Astra Serif" w:hAnsi="PT Astra Serif" w:cs="PT Astra Serif"/>
          <w:sz w:val="28"/>
          <w:szCs w:val="28"/>
        </w:rPr>
        <w:t>омпенсации за такую задержку в платеже.</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30. Налогообложение доходов от операций с Облигациями осуществляется в соответствии с законодательством Российской Федерации.</w:t>
      </w:r>
    </w:p>
    <w:p>
      <w:pPr>
        <w:pStyle w:val="ConsPlusNormal"/>
        <w:ind w:firstLine="709"/>
        <w:jc w:val="both"/>
        <w:rPr>
          <w:rFonts w:ascii="PT Astra Serif" w:hAnsi="PT Astra Serif" w:cs="PT Astra Serif"/>
          <w:sz w:val="28"/>
          <w:szCs w:val="28"/>
        </w:rPr>
      </w:pPr>
    </w:p>
    <w:p>
      <w:pPr>
        <w:pStyle w:val="ConsPlusNormal"/>
        <w:ind w:firstLine="709"/>
        <w:jc w:val="center"/>
        <w:rPr>
          <w:rFonts w:ascii="PT Astra Serif" w:hAnsi="PT Astra Serif" w:cs="PT Astra Serif"/>
          <w:sz w:val="28"/>
          <w:szCs w:val="28"/>
        </w:rPr>
      </w:pPr>
      <w:r>
        <w:rPr>
          <w:rFonts w:ascii="PT Astra Serif" w:eastAsia="PT Astra Serif" w:hAnsi="PT Astra Serif" w:cs="PT Astra Serif"/>
          <w:sz w:val="28"/>
          <w:szCs w:val="28"/>
        </w:rPr>
        <w:t>4. Выкуп облигаций, выпуск выкупленных</w:t>
      </w:r>
    </w:p>
    <w:p>
      <w:pPr>
        <w:pStyle w:val="ConsPlusNormal"/>
        <w:ind w:firstLine="709"/>
        <w:jc w:val="center"/>
        <w:rPr>
          <w:rFonts w:ascii="PT Astra Serif" w:hAnsi="PT Astra Serif" w:cs="PT Astra Serif"/>
          <w:sz w:val="28"/>
          <w:szCs w:val="28"/>
        </w:rPr>
      </w:pPr>
      <w:r>
        <w:rPr>
          <w:rFonts w:ascii="PT Astra Serif" w:eastAsia="PT Astra Serif" w:hAnsi="PT Astra Serif" w:cs="PT Astra Serif"/>
          <w:sz w:val="28"/>
          <w:szCs w:val="28"/>
        </w:rPr>
        <w:t>облигаций в последующее обращение</w:t>
      </w:r>
    </w:p>
    <w:p>
      <w:pPr>
        <w:pStyle w:val="ConsPlusNormal"/>
        <w:ind w:firstLine="709"/>
        <w:jc w:val="both"/>
        <w:rPr>
          <w:rFonts w:ascii="PT Astra Serif" w:hAnsi="PT Astra Serif" w:cs="PT Astra Serif"/>
          <w:sz w:val="28"/>
          <w:szCs w:val="28"/>
        </w:rPr>
      </w:pPr>
    </w:p>
    <w:p>
      <w:pPr>
        <w:pStyle w:val="ConsPlusNormal"/>
        <w:ind w:firstLine="708"/>
        <w:jc w:val="both"/>
        <w:rPr>
          <w:rFonts w:ascii="PT Astra Serif" w:hAnsi="PT Astra Serif" w:cs="PT Astra Serif"/>
          <w:sz w:val="26"/>
          <w:szCs w:val="26"/>
        </w:rPr>
      </w:pPr>
      <w:r>
        <w:rPr>
          <w:rFonts w:ascii="PT Astra Serif" w:eastAsia="PT Astra Serif" w:hAnsi="PT Astra Serif" w:cs="PT Astra Serif"/>
          <w:sz w:val="28"/>
          <w:szCs w:val="28"/>
        </w:rPr>
        <w:t>31. Облигации м</w:t>
      </w:r>
      <w:r>
        <w:rPr>
          <w:rFonts w:ascii="PT Astra Serif" w:eastAsia="PT Astra Serif" w:hAnsi="PT Astra Serif" w:cs="PT Astra Serif"/>
          <w:sz w:val="28"/>
          <w:szCs w:val="28"/>
        </w:rPr>
        <w:t>огут быть выкуплены Эмитентом до срока их погашения с возможностью их последующего обращения с соблюдением требований (в том числе по определению цены выку</w:t>
      </w:r>
      <w:r>
        <w:rPr>
          <w:rFonts w:ascii="PT Astra Serif" w:eastAsia="PT Astra Serif" w:hAnsi="PT Astra Serif" w:cs="PT Astra Serif"/>
          <w:sz w:val="28"/>
          <w:szCs w:val="28"/>
        </w:rPr>
        <w:t>па), установленных законодательством Российской Федерации, в соответствии с Условиями эмиссии и Решен</w:t>
      </w:r>
      <w:r>
        <w:rPr>
          <w:rFonts w:ascii="PT Astra Serif" w:eastAsia="PT Astra Serif" w:hAnsi="PT Astra Serif" w:cs="PT Astra Serif"/>
          <w:sz w:val="28"/>
          <w:szCs w:val="28"/>
        </w:rPr>
        <w:t>ием об эмиссии.</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32. Выкуп Облигаций может осуществляться путем заключения сделок купли-продажи Облигаций между Эмитентом в лице Генерального агента, действующего по поручению и за счет Эмитента, и владельцами Облигаций у Организатора торговли в соответстви</w:t>
      </w:r>
      <w:r>
        <w:rPr>
          <w:rFonts w:ascii="PT Astra Serif" w:eastAsia="PT Astra Serif" w:hAnsi="PT Astra Serif" w:cs="PT Astra Serif"/>
          <w:sz w:val="28"/>
          <w:szCs w:val="28"/>
        </w:rPr>
        <w:t>и с нормативными документами Организатора торговли.</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33. Выкуп Облигаций осуществляется Эмитентом по цене, определенной с учетом текущей рыночной цены и объемов предложения и спроса на Облигации, за счет средств областного бюджета Томской области в соответс</w:t>
      </w:r>
      <w:r>
        <w:rPr>
          <w:rFonts w:ascii="PT Astra Serif" w:eastAsia="PT Astra Serif" w:hAnsi="PT Astra Serif" w:cs="PT Astra Serif"/>
          <w:sz w:val="28"/>
          <w:szCs w:val="28"/>
        </w:rPr>
        <w:t>твии с параметрами, установленными законом Томской области об областном бюджете на соответствующий финансовый год и плановый период.</w:t>
      </w:r>
    </w:p>
    <w:p>
      <w:pPr>
        <w:ind w:firstLine="708"/>
        <w:jc w:val="both"/>
        <w:rPr>
          <w:rFonts w:ascii="PT Astra Serif" w:hAnsi="PT Astra Serif" w:cs="PT Astra Serif"/>
          <w:sz w:val="26"/>
          <w:szCs w:val="26"/>
        </w:rPr>
      </w:pPr>
      <w:r>
        <w:rPr>
          <w:rFonts w:ascii="PT Astra Serif" w:eastAsia="PT Astra Serif" w:hAnsi="PT Astra Serif" w:cs="PT Astra Serif"/>
          <w:sz w:val="28"/>
          <w:szCs w:val="28"/>
        </w:rPr>
        <w:t>Порядок выкупа размещенных Облигаций до даты их погашения с возможностью их последующего обращения устанавливается в Решени</w:t>
      </w:r>
      <w:r>
        <w:rPr>
          <w:rFonts w:ascii="PT Astra Serif" w:eastAsia="PT Astra Serif" w:hAnsi="PT Astra Serif" w:cs="PT Astra Serif"/>
          <w:sz w:val="28"/>
          <w:szCs w:val="28"/>
        </w:rPr>
        <w:t>и об эмиссии.</w:t>
      </w:r>
    </w:p>
    <w:p>
      <w:pPr>
        <w:ind w:firstLine="708"/>
        <w:jc w:val="both"/>
        <w:rPr>
          <w:rFonts w:ascii="PT Astra Serif" w:hAnsi="PT Astra Serif" w:cs="PT Astra Serif"/>
          <w:sz w:val="26"/>
          <w:szCs w:val="26"/>
        </w:rPr>
      </w:pPr>
      <w:r>
        <w:rPr>
          <w:rFonts w:ascii="PT Astra Serif" w:eastAsia="PT Astra Serif" w:hAnsi="PT Astra Serif" w:cs="PT Astra Serif"/>
          <w:sz w:val="28"/>
          <w:szCs w:val="28"/>
        </w:rPr>
        <w:t>34. Выкупленные Эмитентом Облигации могут быть выпущены в последующее обращение в течение всего срока обращения Облигаций.</w:t>
      </w:r>
    </w:p>
    <w:p>
      <w:pPr>
        <w:pStyle w:val="ConsPlusNormal"/>
        <w:ind w:firstLine="709"/>
        <w:jc w:val="both"/>
        <w:rPr>
          <w:rFonts w:ascii="PT Astra Serif" w:hAnsi="PT Astra Serif" w:cs="PT Astra Serif"/>
          <w:sz w:val="26"/>
          <w:szCs w:val="26"/>
        </w:rPr>
      </w:pPr>
    </w:p>
    <w:p>
      <w:pPr>
        <w:pStyle w:val="ConsPlusNormal"/>
        <w:jc w:val="center"/>
        <w:outlineLvl w:val="1"/>
        <w:rPr>
          <w:rFonts w:ascii="PT Astra Serif" w:hAnsi="PT Astra Serif" w:cs="PT Astra Serif"/>
          <w:sz w:val="26"/>
          <w:szCs w:val="26"/>
        </w:rPr>
      </w:pPr>
      <w:r>
        <w:rPr>
          <w:rFonts w:ascii="PT Astra Serif" w:eastAsia="PT Astra Serif" w:hAnsi="PT Astra Serif" w:cs="PT Astra Serif"/>
          <w:sz w:val="28"/>
          <w:szCs w:val="28"/>
        </w:rPr>
        <w:t>5. Информация об Эмитенте</w:t>
      </w:r>
    </w:p>
    <w:p>
      <w:pPr>
        <w:pStyle w:val="ConsPlusNormal"/>
        <w:ind w:firstLine="709"/>
        <w:jc w:val="both"/>
        <w:rPr>
          <w:rFonts w:ascii="PT Astra Serif" w:hAnsi="PT Astra Serif" w:cs="PT Astra Serif"/>
          <w:sz w:val="26"/>
          <w:szCs w:val="26"/>
        </w:rPr>
      </w:pPr>
    </w:p>
    <w:p>
      <w:pPr>
        <w:ind w:firstLine="708"/>
        <w:jc w:val="both"/>
        <w:rPr>
          <w:rFonts w:ascii="PT Astra Serif" w:hAnsi="PT Astra Serif" w:cs="PT Astra Serif"/>
          <w:sz w:val="26"/>
          <w:szCs w:val="26"/>
        </w:rPr>
      </w:pPr>
      <w:r>
        <w:rPr>
          <w:rFonts w:ascii="PT Astra Serif" w:eastAsia="PT Astra Serif" w:hAnsi="PT Astra Serif" w:cs="PT Astra Serif"/>
          <w:sz w:val="28"/>
          <w:szCs w:val="28"/>
        </w:rPr>
        <w:t xml:space="preserve">35. В соответствии с </w:t>
      </w:r>
      <w:hyperlink r:id="rId7" w:tooltip="consultantplus://offline/ref=2EBF21FFDA401284AC5476D743A9072C55839A56CB0626B4476481AFB2130A68P0ACI" w:history="1">
        <w:r>
          <w:rPr>
            <w:rFonts w:ascii="PT Astra Serif" w:eastAsia="PT Astra Serif" w:hAnsi="PT Astra Serif" w:cs="PT Astra Serif"/>
            <w:sz w:val="28"/>
            <w:szCs w:val="28"/>
          </w:rPr>
          <w:t>Законом</w:t>
        </w:r>
      </w:hyperlink>
      <w:r>
        <w:rPr>
          <w:rFonts w:ascii="PT Astra Serif" w:eastAsia="PT Astra Serif" w:hAnsi="PT Astra Serif" w:cs="PT Astra Serif"/>
          <w:sz w:val="28"/>
          <w:szCs w:val="28"/>
        </w:rPr>
        <w:t xml:space="preserve"> Томской области от 27.12.2024 № 138-ОЗ «Об областном бюджете на 2025 год и на плановый период 2026 </w:t>
      </w:r>
      <w:r>
        <w:rPr>
          <w:rFonts w:ascii="PT Astra Serif" w:eastAsia="PT Astra Serif" w:hAnsi="PT Astra Serif" w:cs="PT Astra Serif"/>
          <w:sz w:val="28"/>
          <w:szCs w:val="28"/>
        </w:rPr>
        <w:t>и 2027 годов» установлены следующие параметры областного бюджета на 2025 год:</w:t>
      </w:r>
    </w:p>
    <w:p>
      <w:pPr>
        <w:ind w:left="709"/>
        <w:jc w:val="both"/>
        <w:rPr>
          <w:rFonts w:ascii="PT Astra Serif" w:hAnsi="PT Astra Serif" w:cs="PT Astra Serif"/>
          <w:sz w:val="26"/>
          <w:szCs w:val="26"/>
        </w:rPr>
      </w:pPr>
      <w:r>
        <w:rPr>
          <w:rFonts w:ascii="PT Astra Serif" w:eastAsia="PT Astra Serif" w:hAnsi="PT Astra Serif" w:cs="PT Astra Serif"/>
          <w:sz w:val="28"/>
          <w:szCs w:val="28"/>
        </w:rPr>
        <w:t>общий объем доходов бюджета –  118 719 666,0 тыс. рублей;</w:t>
      </w:r>
    </w:p>
    <w:p>
      <w:pPr>
        <w:ind w:left="709"/>
        <w:rPr>
          <w:rFonts w:ascii="PT Astra Serif" w:hAnsi="PT Astra Serif" w:cs="PT Astra Serif"/>
          <w:sz w:val="26"/>
          <w:szCs w:val="26"/>
        </w:rPr>
      </w:pPr>
      <w:r>
        <w:rPr>
          <w:rFonts w:ascii="PT Astra Serif" w:eastAsia="PT Astra Serif" w:hAnsi="PT Astra Serif" w:cs="PT Astra Serif"/>
          <w:sz w:val="28"/>
          <w:szCs w:val="28"/>
        </w:rPr>
        <w:t>объем безвозмездных поступлений – 28 793 041,9 тыс. рублей;</w:t>
      </w:r>
    </w:p>
    <w:p>
      <w:pPr>
        <w:ind w:firstLine="709"/>
        <w:rPr>
          <w:rFonts w:ascii="PT Astra Serif" w:hAnsi="PT Astra Serif" w:cs="PT Astra Serif"/>
          <w:sz w:val="26"/>
          <w:szCs w:val="26"/>
          <w:highlight w:val="white"/>
        </w:rPr>
      </w:pPr>
      <w:r>
        <w:rPr>
          <w:rFonts w:ascii="PT Astra Serif" w:eastAsia="PT Astra Serif" w:hAnsi="PT Astra Serif" w:cs="PT Astra Serif"/>
          <w:sz w:val="28"/>
          <w:szCs w:val="28"/>
        </w:rPr>
        <w:t>объем межбюджетных трансфертов, получаемых из других бюджетов бюджетной системы Российской Федерации</w:t>
      </w:r>
      <w:r>
        <w:rPr>
          <w:rFonts w:ascii="PT Astra Serif" w:eastAsia="PT Astra Serif" w:hAnsi="PT Astra Serif" w:cs="PT Astra Serif"/>
          <w:sz w:val="28"/>
          <w:szCs w:val="28"/>
          <w:highlight w:val="white"/>
        </w:rPr>
        <w:t xml:space="preserve"> –  28 784 956,2 тыс. рублей;  </w:t>
      </w:r>
    </w:p>
    <w:p>
      <w:pPr>
        <w:ind w:left="709"/>
        <w:jc w:val="both"/>
        <w:rPr>
          <w:rFonts w:ascii="PT Astra Serif" w:hAnsi="PT Astra Serif" w:cs="PT Astra Serif"/>
          <w:sz w:val="26"/>
          <w:szCs w:val="26"/>
        </w:rPr>
      </w:pPr>
      <w:r>
        <w:rPr>
          <w:rFonts w:ascii="PT Astra Serif" w:eastAsia="PT Astra Serif" w:hAnsi="PT Astra Serif" w:cs="PT Astra Serif"/>
          <w:sz w:val="28"/>
          <w:szCs w:val="28"/>
        </w:rPr>
        <w:t>общий объем расходов бюджета – 122 724 485,6 тыс. рублей;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объем расходов на обслуживание государственного долга Томской обла</w:t>
      </w:r>
      <w:r>
        <w:rPr>
          <w:rFonts w:ascii="PT Astra Serif" w:eastAsia="PT Astra Serif" w:hAnsi="PT Astra Serif" w:cs="PT Astra Serif"/>
          <w:sz w:val="28"/>
          <w:szCs w:val="28"/>
        </w:rPr>
        <w:t>сти - 2 355 607,5  тыс. рублей;</w:t>
      </w:r>
    </w:p>
    <w:p>
      <w:pPr>
        <w:ind w:left="709"/>
        <w:jc w:val="both"/>
        <w:rPr>
          <w:rFonts w:ascii="PT Astra Serif" w:hAnsi="PT Astra Serif" w:cs="PT Astra Serif"/>
          <w:sz w:val="26"/>
          <w:szCs w:val="26"/>
          <w:highlight w:val="white"/>
        </w:rPr>
      </w:pPr>
      <w:r>
        <w:rPr>
          <w:rFonts w:ascii="PT Astra Serif" w:eastAsia="PT Astra Serif" w:hAnsi="PT Astra Serif" w:cs="PT Astra Serif"/>
          <w:sz w:val="28"/>
          <w:szCs w:val="28"/>
        </w:rPr>
        <w:t>дефицит бюджета -  4 004 819</w:t>
      </w:r>
      <w:r>
        <w:rPr>
          <w:rFonts w:ascii="PT Astra Serif" w:eastAsia="PT Astra Serif" w:hAnsi="PT Astra Serif" w:cs="PT Astra Serif"/>
          <w:sz w:val="28"/>
          <w:szCs w:val="28"/>
          <w:highlight w:val="white"/>
        </w:rPr>
        <w:t>,6 тыс. рублей;</w:t>
      </w:r>
    </w:p>
    <w:p>
      <w:pPr>
        <w:ind w:firstLine="709"/>
        <w:jc w:val="both"/>
        <w:rPr>
          <w:rFonts w:ascii="PT Astra Serif" w:hAnsi="PT Astra Serif" w:cs="PT Astra Serif"/>
          <w:sz w:val="26"/>
          <w:szCs w:val="26"/>
        </w:rPr>
      </w:pPr>
      <w:r>
        <w:rPr>
          <w:rFonts w:ascii="PT Astra Serif" w:eastAsia="PT Astra Serif" w:hAnsi="PT Astra Serif" w:cs="PT Astra Serif"/>
          <w:sz w:val="28"/>
          <w:szCs w:val="28"/>
        </w:rPr>
        <w:t>верхний предел государственного внутреннего долга Томской области по состоянию на 1 января 2026 года – 50 588 146,4 тыс. рублей, в том числе верхний предел долга по государственным</w:t>
      </w:r>
      <w:r>
        <w:rPr>
          <w:rFonts w:ascii="PT Astra Serif" w:eastAsia="PT Astra Serif" w:hAnsi="PT Astra Serif" w:cs="PT Astra Serif"/>
          <w:sz w:val="28"/>
          <w:szCs w:val="28"/>
        </w:rPr>
        <w:t xml:space="preserve"> гарантиям Томской области - 0,0 тыс. рублей.</w:t>
      </w:r>
    </w:p>
    <w:p>
      <w:pPr>
        <w:pStyle w:val="ConsPlusNormal"/>
        <w:ind w:firstLine="708"/>
        <w:jc w:val="both"/>
        <w:rPr>
          <w:rFonts w:ascii="PT Astra Serif" w:hAnsi="PT Astra Serif" w:cs="PT Astra Serif"/>
          <w:sz w:val="26"/>
          <w:szCs w:val="26"/>
        </w:rPr>
      </w:pPr>
      <w:r>
        <w:rPr>
          <w:rFonts w:ascii="PT Astra Serif" w:eastAsia="PT Astra Serif" w:hAnsi="PT Astra Serif" w:cs="PT Astra Serif"/>
          <w:sz w:val="28"/>
          <w:szCs w:val="28"/>
        </w:rPr>
        <w:t xml:space="preserve">36. Суммарный объем государственного долга Томской области на дату утверждения настоящих Условий эмиссии составляет </w:t>
      </w:r>
      <w:r>
        <w:rPr>
          <w:rFonts w:ascii="PT Astra Serif" w:eastAsia="PT Astra Serif" w:hAnsi="PT Astra Serif" w:cs="PT Astra Serif"/>
          <w:sz w:val="28"/>
          <w:szCs w:val="28"/>
          <w:highlight w:val="white"/>
        </w:rPr>
        <w:t>51 513 31</w:t>
      </w:r>
      <w:r>
        <w:rPr>
          <w:rFonts w:ascii="PT Astra Serif" w:eastAsia="PT Astra Serif" w:hAnsi="PT Astra Serif" w:cs="PT Astra Serif"/>
          <w:sz w:val="28"/>
          <w:szCs w:val="28"/>
          <w:highlight w:val="white"/>
        </w:rPr>
        <w:t>1,6</w:t>
      </w:r>
      <w:r>
        <w:rPr>
          <w:rFonts w:ascii="PT Astra Serif" w:eastAsia="PT Astra Serif" w:hAnsi="PT Astra Serif" w:cs="PT Astra Serif"/>
          <w:sz w:val="28"/>
          <w:szCs w:val="28"/>
          <w:highlight w:val="white"/>
        </w:rPr>
        <w:t xml:space="preserve"> тыс</w:t>
      </w:r>
      <w:r>
        <w:rPr>
          <w:rFonts w:ascii="PT Astra Serif" w:eastAsia="PT Astra Serif" w:hAnsi="PT Astra Serif" w:cs="PT Astra Serif"/>
          <w:sz w:val="28"/>
          <w:szCs w:val="28"/>
        </w:rPr>
        <w:t>. рублей.</w:t>
      </w:r>
    </w:p>
    <w:p>
      <w:pPr>
        <w:ind w:firstLine="708"/>
        <w:jc w:val="both"/>
        <w:rPr>
          <w:rFonts w:ascii="PT Astra Serif" w:hAnsi="PT Astra Serif" w:cs="PT Astra Serif"/>
          <w:sz w:val="26"/>
          <w:szCs w:val="26"/>
        </w:rPr>
      </w:pPr>
      <w:r>
        <w:rPr>
          <w:rFonts w:ascii="PT Astra Serif" w:eastAsia="PT Astra Serif" w:hAnsi="PT Astra Serif" w:cs="PT Astra Serif"/>
          <w:sz w:val="28"/>
          <w:szCs w:val="28"/>
        </w:rPr>
        <w:t xml:space="preserve">37. Информация об исполнении областного бюджета Томской области за </w:t>
      </w:r>
      <w:hyperlink w:anchor="Par393" w:tooltip="#Par393" w:history="1">
        <w:r>
          <w:rPr>
            <w:rFonts w:ascii="PT Astra Serif" w:eastAsia="PT Astra Serif" w:hAnsi="PT Astra Serif" w:cs="PT Astra Serif"/>
            <w:sz w:val="28"/>
            <w:szCs w:val="28"/>
          </w:rPr>
          <w:t>2022, 2023, 2024 годы</w:t>
        </w:r>
      </w:hyperlink>
      <w:r>
        <w:rPr>
          <w:rFonts w:ascii="PT Astra Serif" w:eastAsia="PT Astra Serif" w:hAnsi="PT Astra Serif" w:cs="PT Astra Serif"/>
          <w:sz w:val="28"/>
          <w:szCs w:val="28"/>
        </w:rPr>
        <w:t>:</w:t>
      </w:r>
    </w:p>
    <w:tbl>
      <w:tblPr>
        <w:tblW w:w="497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850"/>
        <w:gridCol w:w="3402"/>
        <w:gridCol w:w="1776"/>
        <w:gridCol w:w="1776"/>
        <w:gridCol w:w="1780"/>
      </w:tblGrid>
      <w:tr>
        <w:tblPrEx>
          <w:tblW w:w="497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Ex>
        <w:tc>
          <w:tcPr>
            <w:tcW w:w="850" w:type="dxa"/>
            <w:vMerge w:val="restart"/>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N п/п</w:t>
            </w:r>
          </w:p>
        </w:tc>
        <w:tc>
          <w:tcPr>
            <w:tcW w:w="3406" w:type="dxa"/>
            <w:vMerge w:val="restart"/>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Наименование показателей</w:t>
            </w:r>
          </w:p>
        </w:tc>
        <w:tc>
          <w:tcPr>
            <w:tcW w:w="5338" w:type="dxa"/>
            <w:gridSpan w:val="3"/>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Исполнено, тыс. руб.</w:t>
            </w:r>
          </w:p>
        </w:tc>
      </w:tr>
      <w:tr>
        <w:tblPrEx>
          <w:tblW w:w="4977" w:type="pct"/>
          <w:tblLayout w:type="fixed"/>
          <w:tblCellMar>
            <w:top w:w="102" w:type="dxa"/>
            <w:left w:w="62" w:type="dxa"/>
            <w:bottom w:w="102" w:type="dxa"/>
            <w:right w:w="62" w:type="dxa"/>
          </w:tblCellMar>
          <w:tblLook w:val="04A0"/>
        </w:tblPrEx>
        <w:tc>
          <w:tcPr>
            <w:tcW w:w="850" w:type="dxa"/>
            <w:vMerge/>
            <w:noWrap w:val="0"/>
            <w:textDirection w:val="lrTb"/>
            <w:vAlign w:val="center"/>
          </w:tcPr>
          <w:p>
            <w:pPr>
              <w:pStyle w:val="ConsPlusNormal"/>
              <w:jc w:val="center"/>
              <w:rPr>
                <w:sz w:val="26"/>
                <w:szCs w:val="26"/>
              </w:rPr>
            </w:pPr>
          </w:p>
        </w:tc>
        <w:tc>
          <w:tcPr>
            <w:tcW w:w="3406" w:type="dxa"/>
            <w:vMerge/>
            <w:noWrap w:val="0"/>
            <w:textDirection w:val="lrTb"/>
            <w:vAlign w:val="center"/>
          </w:tcPr>
          <w:p>
            <w:pPr>
              <w:pStyle w:val="ConsPlusNormal"/>
              <w:rPr>
                <w:sz w:val="26"/>
                <w:szCs w:val="26"/>
              </w:rPr>
            </w:pPr>
          </w:p>
        </w:tc>
        <w:tc>
          <w:tcPr>
            <w:tcW w:w="1778" w:type="dxa"/>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2022 год</w:t>
            </w:r>
          </w:p>
        </w:tc>
        <w:tc>
          <w:tcPr>
            <w:tcW w:w="1778" w:type="dxa"/>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2023 год</w:t>
            </w:r>
          </w:p>
        </w:tc>
        <w:tc>
          <w:tcPr>
            <w:tcW w:w="1781" w:type="dxa"/>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2024 год</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w:t>
            </w:r>
          </w:p>
        </w:tc>
        <w:tc>
          <w:tcPr>
            <w:tcW w:w="3406" w:type="dxa"/>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2</w:t>
            </w:r>
          </w:p>
        </w:tc>
        <w:tc>
          <w:tcPr>
            <w:tcW w:w="1778" w:type="dxa"/>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3</w:t>
            </w:r>
          </w:p>
        </w:tc>
        <w:tc>
          <w:tcPr>
            <w:tcW w:w="1778" w:type="dxa"/>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4</w:t>
            </w:r>
          </w:p>
        </w:tc>
        <w:tc>
          <w:tcPr>
            <w:tcW w:w="1781" w:type="dxa"/>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5</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outlineLvl w:val="3"/>
              <w:rPr>
                <w:rFonts w:ascii="PT Astra Serif" w:hAnsi="PT Astra Serif" w:cs="PT Astra Serif"/>
                <w:sz w:val="26"/>
                <w:szCs w:val="26"/>
              </w:rPr>
            </w:pPr>
            <w:r>
              <w:rPr>
                <w:rFonts w:ascii="PT Astra Serif" w:eastAsia="PT Astra Serif" w:hAnsi="PT Astra Serif" w:cs="PT Astra Serif"/>
                <w:sz w:val="28"/>
                <w:szCs w:val="28"/>
              </w:rPr>
              <w:t>1</w:t>
            </w:r>
          </w:p>
        </w:tc>
        <w:tc>
          <w:tcPr>
            <w:tcW w:w="8744" w:type="dxa"/>
            <w:gridSpan w:val="4"/>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ДОХОДЫ</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Налоговые и неналоговые доходы:</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65 367 138,6</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75 248 182,4</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78 030 998,8</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Налоги на прибыль, доходы</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38 899 991,2</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47 303 619,5</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47 059 821,5</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1.1.2</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Налоги на товары (работы, услуги), реализуемые на территории Российской Федерации</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11 249 241,3</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12 427 964,9</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14 095 027,4</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1.1.3</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Налоги на совокупный доход</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3 652 065,8</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3 992 055,0</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5 184 300,0</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1.1.4</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Налоги на имущество</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8 714 557,5</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8 745 197,3</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8 782 790,6</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1.1.5</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Налоги, сборы и регулярные платежи за пользование природными ресурсами</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12 503,6</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20 803,0</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27 738,7</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1.1.6</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Госпошлина</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126 249,9</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152 636,3</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136 595,5</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1.1.7</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 xml:space="preserve">Задолженность и перерасчеты по </w:t>
            </w:r>
            <w:r>
              <w:rPr>
                <w:rFonts w:ascii="PT Astra Serif" w:eastAsia="PT Astra Serif" w:hAnsi="PT Astra Serif" w:cs="PT Astra Serif"/>
                <w:sz w:val="28"/>
                <w:szCs w:val="28"/>
              </w:rPr>
              <w:t xml:space="preserve">отмененным налогам, сборам и иным </w:t>
            </w:r>
            <w:r>
              <w:rPr>
                <w:rFonts w:ascii="PT Astra Serif" w:eastAsia="PT Astra Serif" w:hAnsi="PT Astra Serif" w:cs="PT Astra Serif"/>
                <w:sz w:val="28"/>
                <w:szCs w:val="28"/>
              </w:rPr>
              <w:t>обязательным платежам</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-36,0</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-0,7</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1 929 506,0</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1.1.8</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Доходы от использования имущества, находящегося в государственной и муниципальной собственности</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876 163,7</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487 114,2</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497 551,4</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1.1.9</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Платежи при пользовании природными ресурсами</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1 151 202,3</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1 252 054,3</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959 783,2</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1.1.10</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Доходы от оказания платных услуг (работ) и компенсации затрат государства</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158 803,2</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148 390,2</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197 650,0</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1.1.11</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Доходы от продажи материальных и нематериальных активов</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3 102,7</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2 718,5</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5 377 329,0</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1.1.12</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Административные платежи и сборы</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384,7</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2 318,5</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57,9</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1.1.13</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Штрафы, санкции, возмещение ущерба</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522 929,4</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713 466,3</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1 085 376,1</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1.1.14</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Прочие неналоговые доходы</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-20,7</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-154,9</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858,6</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Безвозмездные поступления</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30 194 642,5</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29 187 657,6</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31 130 921,6</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1.2.1</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Безвозмездные поступления от других бюджетов бюджетной системы Российской Федерации</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27 849 841,4</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26 623 726,2</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29 731 592,7</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1.2.2</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Безвозмездные поступления от государственных (муниципальных) организаций</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1 802 708,1</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1 567 151,0</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730 931,5</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1.2.3</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Безвозмездные поступления от негосударственных организаций</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556,7</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11 840,6</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17 738,5</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1.2.4</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Прочие безвозмездные поступления</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10 649,5</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9 042,3</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8 630,3</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1.2.5</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Доходы бюджетов бюджетной системы Российской Федерации от возврата бюджетами бюджетной системы Российской Федерации и организациями остатков субсидий, субвенций и иных межбюджетных трансфертов, имеющих целевое назначение, прошлых лет</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1 128 206,1</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1 135 479,</w:t>
            </w:r>
            <w:r>
              <w:rPr>
                <w:rFonts w:ascii="PT Astra Serif" w:eastAsia="PT Astra Serif" w:hAnsi="PT Astra Serif" w:cs="PT Astra Serif"/>
                <w:color w:val="000000"/>
                <w:sz w:val="28"/>
                <w:szCs w:val="28"/>
              </w:rPr>
              <w:t>5</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784 218,3</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1.2.6</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Возврат остатков субсидий, субвенций и иных межбюджетных трансфертов, имеющих целевое назначение, прошлых лет</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-597 319,3</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-159 582,0</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-142 189,7</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ВСЕГО ДОХОДОВ</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95 561 781,1</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104 435 840,0</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109 161 920,4</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outlineLvl w:val="3"/>
              <w:rPr>
                <w:rFonts w:ascii="PT Astra Serif" w:hAnsi="PT Astra Serif" w:cs="PT Astra Serif"/>
                <w:sz w:val="26"/>
                <w:szCs w:val="26"/>
              </w:rPr>
            </w:pPr>
            <w:r>
              <w:rPr>
                <w:rFonts w:ascii="PT Astra Serif" w:eastAsia="PT Astra Serif" w:hAnsi="PT Astra Serif" w:cs="PT Astra Serif"/>
                <w:sz w:val="28"/>
                <w:szCs w:val="28"/>
              </w:rPr>
              <w:t>2</w:t>
            </w:r>
          </w:p>
        </w:tc>
        <w:tc>
          <w:tcPr>
            <w:tcW w:w="8744" w:type="dxa"/>
            <w:gridSpan w:val="4"/>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РАСХОДЫ</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Общегосударственные вопросы</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3 172 902,7</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3 646 008,2</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4 329 894,8</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2.2</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Национальная оборона</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38 847,1</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50 626,1</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50 003,5</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2.3</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Национальная безопасность и правоохранительная деятельность</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920 051,9</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6 525 192,7</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1 275 045,7</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2.4</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Национальная экономика</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15 020 677,6</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17 966 459,6</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19 567 134,5</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2.5</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Жилищно-коммунальное хозяйство</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3 675 880,7</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1 059 051,2</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3 204 141,4</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2.6</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Охрана окружающей среды</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206 237,0</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416 354,7</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426 701,8</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2.7</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Образование</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24 555 898,2</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28 339 460,7</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32 504,0</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2.8</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Культура, кинематография</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1 788 896,8</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2 710 029,5</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3 328 355,0</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2.9</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Здравоохранение</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9 926 185,6</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9 194 424,1</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8 935 451,8</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2.10</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Социальная политика</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24 678 432,1</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24 629 902,8</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25 501 284,0</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2.11</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Физическая культура и спорт</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628 939,8</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522 595,9</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844 680,0</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2.12</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Средства массовой информации</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120 039,4</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121 609,1</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129 213,7</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2.13</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Обслуживание государственного и муниципального долга</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1 222 682,3</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957 673,3</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1 161 089,5</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2.14</w:t>
            </w: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Межбюджетные трансферты общего характера бюджетам бюджетной системы Российской Федерации</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7 383 948,7</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7 768 622,0</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9 324 155,2</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jc w:val="center"/>
              <w:rPr>
                <w:rFonts w:ascii="PT Astra Serif" w:hAnsi="PT Astra Serif" w:cs="PT Astra Serif"/>
                <w:sz w:val="26"/>
                <w:szCs w:val="26"/>
              </w:rPr>
            </w:pP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ВСЕГО РАСХОДОВ</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93 339 619,9</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103 908 009,9</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110 581 186,9</w:t>
            </w:r>
          </w:p>
        </w:tc>
      </w:tr>
      <w:tr>
        <w:tblPrEx>
          <w:tblW w:w="4977" w:type="pct"/>
          <w:tblLayout w:type="fixed"/>
          <w:tblCellMar>
            <w:top w:w="102" w:type="dxa"/>
            <w:left w:w="62" w:type="dxa"/>
            <w:bottom w:w="102" w:type="dxa"/>
            <w:right w:w="62" w:type="dxa"/>
          </w:tblCellMar>
          <w:tblLook w:val="04A0"/>
        </w:tblPrEx>
        <w:tc>
          <w:tcPr>
            <w:tcW w:w="850" w:type="dxa"/>
            <w:noWrap w:val="0"/>
            <w:textDirection w:val="lrTb"/>
            <w:vAlign w:val="center"/>
          </w:tcPr>
          <w:p>
            <w:pPr>
              <w:pStyle w:val="ConsPlusNormal"/>
              <w:jc w:val="center"/>
              <w:rPr>
                <w:rFonts w:ascii="PT Astra Serif" w:hAnsi="PT Astra Serif" w:cs="PT Astra Serif"/>
                <w:sz w:val="26"/>
                <w:szCs w:val="26"/>
              </w:rPr>
            </w:pPr>
          </w:p>
        </w:tc>
        <w:tc>
          <w:tcPr>
            <w:tcW w:w="3406" w:type="dxa"/>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Превышение расходов над доходами (дефицит «-») Превышение доходов над расходами (профицит «+»)</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2 222 161,2</w:t>
            </w:r>
          </w:p>
        </w:tc>
        <w:tc>
          <w:tcPr>
            <w:tcW w:w="1778" w:type="dxa"/>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527 830,1</w:t>
            </w:r>
          </w:p>
        </w:tc>
        <w:tc>
          <w:tcPr>
            <w:tcW w:w="1781" w:type="dxa"/>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-1 419 266,5</w:t>
            </w:r>
          </w:p>
        </w:tc>
      </w:tr>
    </w:tbl>
    <w:p>
      <w:pPr>
        <w:pBdr>
          <w:right w:val="nil"/>
        </w:pBdr>
        <w:tabs>
          <w:tab w:val="left" w:pos="7088"/>
        </w:tabs>
        <w:jc w:val="both"/>
        <w:rPr>
          <w:rFonts w:ascii="PT Astra Serif" w:hAnsi="PT Astra Serif"/>
          <w:sz w:val="18"/>
          <w:szCs w:val="18"/>
        </w:rPr>
      </w:pPr>
    </w:p>
    <w:sectPr>
      <w:headerReference w:type="default" r:id="rId8"/>
      <w:headerReference w:type="first" r:id="rId9"/>
      <w:type w:val="continuous"/>
      <w:pgSz w:w="11907" w:h="16840" w:orient="portrait"/>
      <w:pgMar w:top="1134" w:right="851" w:bottom="1134" w:left="1418" w:header="737" w:footer="284" w:gutter="0"/>
      <w:pgNumType w:start="1"/>
      <w:cols w:num="1" w:sep="0" w:space="720" w:equalWidth="1"/>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default"/>
  </w:font>
  <w:font w:name="Calibri">
    <w:panose1 w:val="020F0502020204030204"/>
    <w:charset w:val="00"/>
    <w:family w:val="auto"/>
    <w:pitch w:val="default"/>
  </w:font>
  <w:font w:name="Tahoma">
    <w:panose1 w:val="020B0604030504040204"/>
    <w:charset w:val="00"/>
    <w:family w:val="auto"/>
    <w:pitch w:val="default"/>
  </w:font>
  <w:font w:name="PT Astra Serif">
    <w:panose1 w:val="020A0603040505020204"/>
    <w:charset w:val="00"/>
    <w:family w:val="auto"/>
    <w:pitch w:val="default"/>
  </w:font>
  <w:font w:name="Arial">
    <w:panose1 w:val="020B0604020202020204"/>
    <w:charset w:val="00"/>
    <w:family w:val="auto"/>
    <w:pitch w:val="default"/>
  </w:font>
  <w:font w:name="Cambria">
    <w:panose1 w:val="02040503050406030204"/>
    <w:charset w:val="00"/>
    <w:family w:val="auto"/>
    <w:pitch w:val="default"/>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spacing w:before="0"/>
      <w:rPr>
        <w:rFonts w:ascii="PT Astra Serif" w:hAnsi="PT Astra Serif"/>
        <w:b w:val="0"/>
        <w:bCs w:val="0"/>
        <w:sz w:val="28"/>
        <w:szCs w:val="28"/>
      </w:rPr>
    </w:pPr>
    <w:r>
      <w:rPr>
        <w:rFonts w:ascii="PT Astra Serif" w:hAnsi="PT Astra Serif"/>
        <w:sz w:val="24"/>
        <w:szCs w:val="24"/>
      </w:rPr>
      <w:fldChar w:fldCharType="begin"/>
    </w:r>
    <w:r>
      <w:rPr>
        <w:rFonts w:ascii="PT Astra Serif" w:hAnsi="PT Astra Serif"/>
        <w:sz w:val="24"/>
        <w:szCs w:val="24"/>
      </w:rPr>
      <w:instrText xml:space="preserve"> PAGE   \* MERGEFORMAT </w:instrText>
    </w:r>
    <w:r>
      <w:rPr>
        <w:rFonts w:ascii="PT Astra Serif" w:hAnsi="PT Astra Serif"/>
        <w:b w:val="0"/>
        <w:bCs w:val="0"/>
        <w:sz w:val="28"/>
        <w:szCs w:val="28"/>
      </w:rPr>
      <w:fldChar w:fldCharType="separate"/>
    </w:r>
    <w:r>
      <w:rPr>
        <w:rFonts w:ascii="PT Astra Serif" w:hAnsi="PT Astra Serif"/>
        <w:b w:val="0"/>
        <w:bCs w:val="0"/>
        <w:sz w:val="28"/>
        <w:szCs w:val="28"/>
      </w:rPr>
      <w:t>2</w:t>
    </w:r>
    <w:r>
      <w:rPr>
        <w:rFonts w:ascii="PT Astra Serif" w:hAnsi="PT Astra Serif"/>
        <w:b w:val="0"/>
        <w:bCs w:val="0"/>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after="120"/>
      <w:jc w:val="center"/>
      <w:rPr>
        <w:rFonts w:ascii="PT Astra Serif" w:eastAsia="PT Astra Serif" w:hAnsi="PT Astra Serif" w:cs="PT Astra Serif"/>
        <w:b/>
        <w:sz w:val="12"/>
        <w:szCs w:val="12"/>
      </w:rPr>
    </w:pPr>
    <w:r>
      <w:rPr>
        <w:rFonts w:ascii="PT Astra Serif" w:eastAsia="PT Astra Serif" w:hAnsi="PT Astra Serif" w:cs="PT Astra Seri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xmlns:r="http://schemas.openxmlformats.org/officeDocument/2006/relationships" r:embed="rId1"/>
                  <a:stretch>
                    <a:fillRect/>
                  </a:stretch>
                </pic:blipFill>
                <pic:spPr bwMode="auto">
                  <a:xfrm>
                    <a:off x="0" y="0"/>
                    <a:ext cx="676275" cy="619125"/>
                  </a:xfrm>
                  <a:prstGeom prst="rect">
                    <a:avLst/>
                  </a:prstGeom>
                  <a:noFill/>
                  <a:ln>
                    <a:noFill/>
                  </a:ln>
                </pic:spPr>
              </pic:pic>
            </a:graphicData>
          </a:graphic>
        </wp:inline>
      </w:drawing>
    </w:r>
  </w:p>
  <w:p>
    <w:pPr>
      <w:pStyle w:val="Header"/>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 xml:space="preserve">Департамент финансов </w:t>
    </w:r>
    <w:r>
      <w:rPr>
        <w:rFonts w:ascii="PT Astra Serif" w:eastAsia="PT Astra Serif" w:hAnsi="PT Astra Serif" w:cs="PT Astra Serif"/>
        <w:sz w:val="30"/>
        <w:szCs w:val="30"/>
      </w:rPr>
      <w:t>Томской области</w:t>
    </w:r>
  </w:p>
  <w:p>
    <w:pPr>
      <w:pStyle w:val="Header"/>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pBdr>
        <w:top w:val="nil"/>
        <w:left w:val="nil"/>
        <w:bottom w:val="nil"/>
        <w:right w:val="nil"/>
        <w:between w:val="nil"/>
      </w:pBdr>
    </w:pPr>
    <w:rPr>
      <w:sz w:val="22"/>
      <w:szCs w:val="22"/>
      <w:lang w:eastAsia="en-US" w:bidi="en-US"/>
    </w:rPr>
  </w:style>
  <w:style w:type="paragraph" w:styleId="Heading1">
    <w:name w:val="heading 1"/>
    <w:link w:val="1"/>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Heading2">
    <w:name w:val="heading 2"/>
    <w:link w:val="2"/>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Heading3">
    <w:name w:val="heading 3"/>
    <w:link w:val="3"/>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Heading4">
    <w:name w:val="heading 4"/>
    <w:link w:val="4"/>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Heading5">
    <w:name w:val="heading 5"/>
    <w:link w:val="5"/>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Heading6">
    <w:name w:val="heading 6"/>
    <w:link w:val="6"/>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Heading7">
    <w:name w:val="heading 7"/>
    <w:link w:val="7"/>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Heading8">
    <w:name w:val="heading 8"/>
    <w:link w:val="8"/>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Heading9">
    <w:name w:val="heading 9"/>
    <w:link w:val="9"/>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dnoteTextChar">
    <w:name w:val="Endnote Text Char"/>
    <w:link w:val="EndnoteText"/>
    <w:uiPriority w:val="99"/>
    <w:rPr>
      <w:sz w:val="20"/>
    </w:rPr>
  </w:style>
  <w:style w:type="character" w:customStyle="1" w:styleId="Heading1Char">
    <w:name w:val="Heading 1 Char"/>
    <w:basedOn w:val="DefaultParagraphFont"/>
    <w:uiPriority w:val="9"/>
    <w:rPr>
      <w:rFonts w:ascii="Arial" w:eastAsia="Arial" w:hAnsi="Arial" w:cs="Arial"/>
      <w:sz w:val="40"/>
      <w:szCs w:val="40"/>
    </w:rPr>
  </w:style>
  <w:style w:type="character" w:customStyle="1" w:styleId="Heading2Char">
    <w:name w:val="Heading 2 Char"/>
    <w:basedOn w:val="DefaultParagraphFont"/>
    <w:uiPriority w:val="9"/>
    <w:rPr>
      <w:rFonts w:ascii="Arial" w:eastAsia="Arial" w:hAnsi="Arial" w:cs="Arial"/>
      <w:sz w:val="34"/>
    </w:r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character" w:customStyle="1" w:styleId="CaptionChar">
    <w:name w:val="Caption Char"/>
    <w:uiPriority w:val="99"/>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band1Horz">
      <w:tblPr/>
      <w:tcPr>
        <w:shd w:val="clear" w:color="F2F2F2" w:fill="auto" w:themeColor="text1" w:themeTint="0D"/>
      </w:tcPr>
    </w:tblStylePr>
    <w:tblStylePr w:type="band1Vert">
      <w:tblPr/>
      <w:tcPr>
        <w:shd w:val="clear" w:color="F2F2F2" w:fill="auto" w:themeColor="text1" w:theme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PlainTable2">
    <w:name w:val="Plain Table 2"/>
    <w:basedOn w:val="TableNormal"/>
    <w:uiPriority w:val="59"/>
    <w:tblPr>
      <w:tblBorders>
        <w:top w:val="single" w:sz="4" w:space="0" w:color="000000" w:themeColor="text1"/>
        <w:left w:val="nil"/>
        <w:bottom w:val="single" w:sz="4" w:space="0" w:color="000000" w:themeColor="text1"/>
        <w:right w:val="nil"/>
      </w:tblBorders>
    </w:tblPr>
    <w:tblStylePr w:type="band1Horz">
      <w:tblPr/>
      <w:tcPr>
        <w:tcBorders>
          <w:top w:val="single" w:sz="4" w:space="0" w:color="000000" w:themeColor="text1"/>
          <w:bottom w:val="single" w:sz="4" w:space="0" w:color="000000" w:themeColor="text1"/>
        </w:tcBorders>
      </w:tc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firstCol">
      <w:rPr>
        <w:rFonts w:ascii="Arial" w:hAnsi="Arial"/>
        <w:b/>
        <w:color w:val="404040"/>
        <w:sz w:val="22"/>
      </w:rPr>
    </w:tblStyle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PlainTable3">
    <w:name w:val="Plain Table 3"/>
    <w:basedOn w:val="TableNormal"/>
    <w:uiPriority w:val="99"/>
    <w:tblPr>
      <w:tblStyleRowBandSize w:val="1"/>
      <w:tblStyleColBandSize w:val="1"/>
    </w:tblPr>
    <w:tblStylePr w:type="band1Horz">
      <w:rPr>
        <w:rFonts w:ascii="Arial" w:hAnsi="Arial"/>
        <w:color w:val="404040"/>
        <w:sz w:val="22"/>
      </w:rPr>
      <w:tblPr/>
      <w:tcPr>
        <w:shd w:val="clear" w:color="F2F2F2" w:fill="auto" w:themeColor="text1" w:themeTint="0D"/>
      </w:tcPr>
    </w:tblStylePr>
    <w:tblStylePr w:type="band1Vert">
      <w:rPr>
        <w:rFonts w:ascii="Arial" w:hAnsi="Arial"/>
        <w:color w:val="404040"/>
        <w:sz w:val="22"/>
      </w:rPr>
      <w:tblPr/>
      <w:tcPr>
        <w:shd w:val="clear" w:color="F2F2F2" w:fill="auto" w:themeColor="text1" w:themeTint="0D"/>
      </w:tcPr>
    </w:tblStylePr>
    <w:tblStylePr w:type="firstCol">
      <w:rPr>
        <w:b/>
        <w:caps/>
        <w:color w:val="404040"/>
      </w:rPr>
      <w:tblPr/>
      <w:tcPr>
        <w:tcBorders>
          <w:top w:val="nil"/>
          <w:left w:val="nil"/>
          <w:bottom w:val="nil"/>
          <w:right w:val="single" w:sz="4" w:space="0" w:color="404040"/>
        </w:tcBorders>
      </w:tcPr>
    </w:tblStylePr>
    <w:tblStylePr w:type="firstRow">
      <w:rPr>
        <w:b/>
        <w:caps/>
        <w:color w:val="404040"/>
      </w:rPr>
      <w:tblPr/>
      <w:tcPr>
        <w:tcBorders>
          <w:top w:val="nil"/>
          <w:left w:val="nil"/>
          <w:bottom w:val="single" w:sz="4" w:space="0" w:color="404040"/>
          <w:right w:val="nil"/>
        </w:tcBorders>
      </w:tcPr>
    </w:tblStylePr>
    <w:tblStylePr w:type="lastCol">
      <w:rPr>
        <w:b/>
        <w:caps/>
        <w:color w:val="404040"/>
      </w:rPr>
    </w:tblStylePr>
    <w:tblStylePr w:type="lastRow">
      <w:rPr>
        <w:b/>
        <w:caps/>
        <w:color w:val="404040"/>
      </w:rPr>
    </w:tblStylePr>
  </w:style>
  <w:style w:type="table" w:styleId="PlainTable4">
    <w:name w:val="Plain Table 4"/>
    <w:basedOn w:val="TableNormal"/>
    <w:uiPriority w:val="99"/>
    <w:tblPr>
      <w:tblStyleRowBandSize w:val="1"/>
      <w:tblStyleColBandSize w:val="1"/>
    </w:tblPr>
    <w:tblStylePr w:type="band1Horz">
      <w:rPr>
        <w:rFonts w:ascii="Arial" w:hAnsi="Arial"/>
        <w:color w:val="404040"/>
        <w:sz w:val="22"/>
      </w:rPr>
      <w:tblPr/>
      <w:tcPr>
        <w:shd w:val="clear" w:color="F2F2F2" w:fill="auto" w:themeColor="text1" w:themeTint="0D"/>
      </w:tcPr>
    </w:tblStylePr>
    <w:tblStylePr w:type="band1Vert">
      <w:rPr>
        <w:rFonts w:ascii="Arial" w:hAnsi="Arial"/>
        <w:color w:val="404040"/>
        <w:sz w:val="22"/>
      </w:rPr>
      <w:tblPr/>
      <w:tcPr>
        <w:shd w:val="clear" w:color="F2F2F2" w:fill="auto" w:themeColor="text1" w:theme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PlainTable5">
    <w:name w:val="Plain Table 5"/>
    <w:basedOn w:val="TableNormal"/>
    <w:uiPriority w:val="99"/>
    <w:tblPr>
      <w:tblStyleRowBandSize w:val="1"/>
      <w:tblStyleColBandSize w:val="1"/>
    </w:tblPr>
    <w:tblStylePr w:type="band1Horz">
      <w:rPr>
        <w:rFonts w:ascii="Arial" w:hAnsi="Arial"/>
        <w:color w:val="404040"/>
        <w:sz w:val="22"/>
      </w:rPr>
      <w:tblPr/>
      <w:tcPr>
        <w:shd w:val="clear" w:color="F2F2F2" w:fill="auto" w:themeColor="text1" w:themeTint="0D"/>
      </w:tcPr>
    </w:tblStylePr>
    <w:tblStylePr w:type="band1Vert">
      <w:rPr>
        <w:rFonts w:ascii="Arial" w:hAnsi="Arial"/>
        <w:color w:val="404040"/>
        <w:sz w:val="22"/>
      </w:rPr>
      <w:tblPr/>
      <w:tcPr>
        <w:shd w:val="clear" w:color="F2F2F2" w:fill="auto" w:themeColor="text1" w:themeTint="0D"/>
      </w:tcPr>
    </w:tblStylePr>
    <w:tblStylePr w:type="firstCol">
      <w:pPr>
        <w:jc w:val="right"/>
      </w:pPr>
      <w:rPr>
        <w:i/>
        <w:color w:val="404040"/>
      </w:rPr>
      <w:tblPr/>
      <w:tcPr>
        <w:tcBorders>
          <w:right w:val="single" w:sz="4" w:space="0" w:color="404040"/>
        </w:tcBorders>
        <w:shd w:val="clear" w:color="FFFFFF" w:fill="auto"/>
      </w:tcPr>
    </w:tblStylePr>
    <w:tblStylePr w:type="firstRow">
      <w:rPr>
        <w:i/>
        <w:color w:val="404040"/>
      </w:rPr>
      <w:tblPr/>
      <w:tcPr>
        <w:tcBorders>
          <w:left w:val="nil"/>
          <w:bottom w:val="single" w:sz="4" w:space="0" w:color="404040"/>
          <w:right w:val="nil"/>
        </w:tcBorders>
        <w:shd w:val="clear" w:color="FFFFFF" w:fill="auto"/>
      </w:tcPr>
    </w:tblStylePr>
    <w:tblStylePr w:type="lastCol">
      <w:rPr>
        <w:i/>
        <w:color w:val="404040"/>
      </w:rPr>
      <w:tblPr/>
      <w:tcPr>
        <w:tcBorders>
          <w:left w:val="single" w:sz="4" w:space="0" w:color="404040"/>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tblStylePr w:type="firstCol">
      <w:rPr>
        <w:b/>
        <w:color w:val="404040"/>
      </w:rPr>
    </w:tblStylePr>
    <w:tblStylePr w:type="firstRow">
      <w:rPr>
        <w:b/>
        <w:color w:val="404040"/>
      </w:rPr>
      <w:tblPr/>
      <w:tcPr>
        <w:tcBorders>
          <w:bottom w:val="single" w:sz="12" w:space="0" w:color="6A6A6A" w:themeColor="text1" w:themeTint="95"/>
        </w:tcBorders>
      </w:tcPr>
    </w:tblStylePr>
    <w:tblStylePr w:type="lastCol">
      <w:rPr>
        <w:b/>
        <w:color w:val="404040"/>
      </w:rPr>
    </w:tblStylePr>
    <w:tblStylePr w:type="lastRow">
      <w:rPr>
        <w:b/>
        <w:color w:val="404040"/>
      </w:r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band1Horz">
      <w:rPr>
        <w:rFonts w:ascii="Arial" w:hAnsi="Arial"/>
        <w:color w:val="404040"/>
        <w:sz w:val="22"/>
      </w:rPr>
      <w:tblPr/>
      <w:tcPr>
        <w:shd w:val="clear" w:color="CBCBCB" w:fill="auto" w:themeColor="text1" w:themeTint="34"/>
      </w:tcPr>
    </w:tblStylePr>
    <w:tblStylePr w:type="band1Vert">
      <w:rPr>
        <w:rFonts w:ascii="Arial" w:hAnsi="Arial"/>
        <w:color w:val="404040"/>
        <w:sz w:val="22"/>
      </w:rPr>
      <w:tblPr/>
      <w:tcPr>
        <w:shd w:val="clear" w:color="CBCBCB" w:fill="auto" w:themeColor="text1" w:themeTint="34"/>
      </w:tcPr>
    </w:tblStylePr>
    <w:tblStylePr w:type="firstCol">
      <w:rPr>
        <w:b/>
        <w:color w:val="404040"/>
      </w:rPr>
    </w:tblStyle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Col">
      <w:rPr>
        <w:b/>
        <w:color w:val="404040"/>
      </w:r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band1Horz">
      <w:rPr>
        <w:rFonts w:ascii="Arial" w:hAnsi="Arial"/>
        <w:color w:val="404040"/>
        <w:sz w:val="22"/>
      </w:rPr>
      <w:tblPr/>
      <w:tcPr>
        <w:shd w:val="clear" w:color="CBCBCB" w:fill="auto" w:themeColor="text1" w:themeTint="34"/>
      </w:tcPr>
    </w:tblStylePr>
    <w:tblStylePr w:type="band1Vert">
      <w:rPr>
        <w:rFonts w:ascii="Arial" w:hAnsi="Arial"/>
        <w:color w:val="404040"/>
        <w:sz w:val="22"/>
      </w:rPr>
      <w:tblPr/>
      <w:tcPr>
        <w:shd w:val="clear" w:color="CBCBCB" w:fill="auto" w:themeColor="text1" w:themeTint="34"/>
      </w:tcPr>
    </w:tblStylePr>
    <w:tblStylePr w:type="firstCol">
      <w:pPr>
        <w:jc w:val="right"/>
      </w:pPr>
      <w:rPr>
        <w:i/>
        <w:color w:val="404040"/>
      </w:rPr>
      <w:tblPr/>
      <w:tcPr>
        <w:tcBorders>
          <w:top w:val="nil"/>
          <w:left w:val="nil"/>
          <w:bottom w:val="nil"/>
          <w:right w:val="nil"/>
        </w:tcBorders>
        <w:shd w:val="clear" w:color="FFFFFF" w:fill="auto"/>
      </w:tcPr>
    </w:tblStylePr>
    <w:tblStylePr w:type="firstRow">
      <w:rPr>
        <w:b/>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band1Horz">
      <w:rPr>
        <w:rFonts w:ascii="Arial" w:hAnsi="Arial"/>
        <w:color w:val="404040"/>
        <w:sz w:val="22"/>
      </w:rPr>
      <w:tblPr/>
      <w:tcPr>
        <w:shd w:val="clear" w:color="CBCBCB" w:fill="auto" w:themeColor="text1" w:themeTint="34"/>
      </w:tcPr>
    </w:tblStylePr>
    <w:tblStylePr w:type="band1Vert">
      <w:rPr>
        <w:rFonts w:ascii="Arial" w:hAnsi="Arial"/>
        <w:color w:val="404040"/>
        <w:sz w:val="22"/>
      </w:rPr>
      <w:tblPr/>
      <w:tcPr>
        <w:shd w:val="clear" w:color="CBCBCB" w:fill="auto" w:themeColor="text1" w:themeTint="34"/>
      </w:tcPr>
    </w:tblStylePr>
    <w:tblStylePr w:type="firstCol">
      <w:rPr>
        <w:b/>
        <w:color w:val="404040"/>
      </w:rPr>
    </w:tblStyle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auto" w:themeColor="text1"/>
      </w:tcPr>
    </w:tblStylePr>
    <w:tblStylePr w:type="lastCol">
      <w:rPr>
        <w:b/>
        <w:color w:val="404040"/>
      </w:rPr>
    </w:tblStylePr>
    <w:tblStylePr w:type="lastRow">
      <w:rPr>
        <w:b/>
        <w:color w:val="404040"/>
      </w:rPr>
      <w:tblPr/>
      <w:tcPr>
        <w:tcBorders>
          <w:top w:val="single" w:sz="4" w:space="0" w:color="000000" w:themeColor="text1"/>
        </w:tcBorders>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fill="auto" w:themeColor="text1" w:themeTint="40"/>
    </w:tblPr>
    <w:tblStylePr w:type="band1Horz">
      <w:tblPr/>
      <w:tcPr>
        <w:shd w:val="clear" w:color="8A8A8A" w:fill="auto" w:themeColor="text1" w:themeTint="75"/>
      </w:tcPr>
    </w:tblStylePr>
    <w:tblStylePr w:type="band1Vert">
      <w:tblPr/>
      <w:tcPr>
        <w:shd w:val="clear" w:color="8A8A8A" w:fill="auto" w:themeColor="text1" w:themeTint="75"/>
      </w:tcPr>
    </w:tblStylePr>
    <w:tblStylePr w:type="firstCol">
      <w:rPr>
        <w:rFonts w:ascii="Arial" w:hAnsi="Arial"/>
        <w:b/>
        <w:color w:val="FFFFFF"/>
        <w:sz w:val="22"/>
      </w:rPr>
      <w:tblPr/>
      <w:tcPr>
        <w:shd w:val="clear" w:color="000000" w:fill="auto" w:themeColor="text1"/>
      </w:tcPr>
    </w:tblStylePr>
    <w:tblStylePr w:type="firstRow">
      <w:rPr>
        <w:rFonts w:ascii="Arial" w:hAnsi="Arial"/>
        <w:b/>
        <w:color w:val="FFFFFF"/>
        <w:sz w:val="22"/>
      </w:rPr>
      <w:tblPr/>
      <w:tcPr>
        <w:shd w:val="clear" w:color="000000" w:fill="auto" w:themeColor="text1"/>
      </w:tcPr>
    </w:tblStylePr>
    <w:tblStylePr w:type="lastCol">
      <w:rPr>
        <w:rFonts w:ascii="Arial" w:hAnsi="Arial"/>
        <w:b/>
        <w:color w:val="FFFFFF"/>
        <w:sz w:val="22"/>
      </w:rPr>
      <w:tblPr/>
      <w:tcPr>
        <w:shd w:val="clear" w:color="000000" w:fill="auto" w:themeColor="text1"/>
      </w:tcPr>
    </w:tblStylePr>
    <w:tblStylePr w:type="lastRow">
      <w:rPr>
        <w:rFonts w:ascii="Arial" w:hAnsi="Arial"/>
        <w:b/>
        <w:color w:val="FFFFFF"/>
        <w:sz w:val="22"/>
      </w:rPr>
      <w:tblPr/>
      <w:tcPr>
        <w:tcBorders>
          <w:top w:val="single" w:sz="4" w:space="0" w:color="FFFFFF" w:themeColor="light1"/>
        </w:tcBorders>
        <w:shd w:val="clear" w:color="000000" w:fill="auto" w:themeColor="text1"/>
      </w:tcPr>
    </w:tblStylePr>
  </w:style>
  <w:style w:type="table"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band1Horz">
      <w:rPr>
        <w:rFonts w:ascii="Arial" w:hAnsi="Arial"/>
        <w:color w:val="7F7F7F" w:themeColor="text1" w:themeShade="95" w:themeTint="80"/>
        <w:sz w:val="22"/>
      </w:rPr>
      <w:tblPr/>
      <w:tcPr>
        <w:shd w:val="clear" w:color="CBCBCB" w:fill="auto" w:themeColor="text1" w:themeTint="34"/>
      </w:tcPr>
    </w:tblStylePr>
    <w:tblStylePr w:type="band1Vert">
      <w:tblPr/>
      <w:tcPr>
        <w:shd w:val="clear" w:color="CBCBCB" w:fill="auto" w:themeColor="text1" w:themeTint="34"/>
      </w:tcPr>
    </w:tblStylePr>
    <w:tblStylePr w:type="band2Horz">
      <w:rPr>
        <w:rFonts w:ascii="Arial" w:hAnsi="Arial"/>
        <w:color w:val="7F7F7F" w:themeColor="text1" w:themeShade="95" w:themeTint="80"/>
        <w:sz w:val="22"/>
      </w:rPr>
    </w:tblStylePr>
    <w:tblStylePr w:type="firstCol">
      <w:rPr>
        <w:b/>
        <w:color w:val="7F7F7F" w:themeColor="text1" w:themeShade="95" w:themeTint="80"/>
      </w:rPr>
    </w:tblStylePr>
    <w:tblStylePr w:type="firstRow">
      <w:rPr>
        <w:b/>
        <w:color w:val="7F7F7F" w:themeColor="text1" w:themeShade="95" w:themeTint="80"/>
      </w:rPr>
      <w:tblPr/>
      <w:tcPr>
        <w:tcBorders>
          <w:bottom w:val="single" w:sz="12" w:space="0" w:color="7F7F7F" w:themeColor="text1" w:themeTint="80"/>
        </w:tcBorders>
      </w:tcPr>
    </w:tblStylePr>
    <w:tblStylePr w:type="lastCol">
      <w:rPr>
        <w:b/>
        <w:color w:val="7F7F7F" w:themeColor="text1" w:themeShade="95" w:themeTint="80"/>
      </w:rPr>
    </w:tblStylePr>
    <w:tblStylePr w:type="lastRow">
      <w:rPr>
        <w:b/>
        <w:color w:val="7F7F7F" w:themeColor="text1" w:themeShade="95" w:themeTint="80"/>
      </w:rPr>
    </w:tblStylePr>
  </w:style>
  <w:style w:type="table"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band1Horz">
      <w:rPr>
        <w:rFonts w:ascii="Arial" w:hAnsi="Arial"/>
        <w:color w:val="7F7F7F" w:themeColor="text1" w:themeShade="95" w:themeTint="80"/>
        <w:sz w:val="22"/>
      </w:rPr>
      <w:tblPr/>
      <w:tcPr>
        <w:shd w:val="clear" w:color="F2F2F2" w:fill="auto" w:themeColor="text1" w:themeTint="0D"/>
      </w:tcPr>
    </w:tblStylePr>
    <w:tblStylePr w:type="band1Vert">
      <w:tblPr/>
      <w:tcPr>
        <w:shd w:val="clear" w:color="F2F2F2" w:fill="auto" w:themeColor="text1" w:themeTint="0D"/>
      </w:tcPr>
    </w:tblStylePr>
    <w:tblStylePr w:type="band2Horz">
      <w:rPr>
        <w:rFonts w:ascii="Arial" w:hAnsi="Arial"/>
        <w:color w:val="7F7F7F" w:themeColor="text1" w:themeShade="95" w:themeTint="80"/>
        <w:sz w:val="22"/>
      </w:r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FFFFFF" w:fill="auto" w:themeColor="light1"/>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FFFFFF" w:fill="auto" w:themeColor="light1"/>
      </w:tcPr>
    </w:tblStylePr>
  </w:style>
  <w:style w:type="table" w:styleId="ListTable1Light">
    <w:name w:val="List Table 1 Light"/>
    <w:basedOn w:val="TableNormal"/>
    <w:uiPriority w:val="99"/>
    <w:tblPr>
      <w:tblStyleRowBandSize w:val="1"/>
      <w:tblStyleColBandSize w:val="1"/>
    </w:tblPr>
    <w:tblStylePr w:type="band1Horz">
      <w:tblPr/>
      <w:tcPr>
        <w:shd w:val="clear" w:color="BFBFBF" w:fill="auto" w:themeColor="text1" w:themeTint="40"/>
      </w:tcPr>
    </w:tblStylePr>
    <w:tblStylePr w:type="band1Vert">
      <w:tblPr/>
      <w:tcPr>
        <w:shd w:val="clear" w:color="BFBFBF" w:fill="auto" w:themeColor="text1" w:themeTint="40"/>
      </w:tcPr>
    </w:tblStylePr>
    <w:tblStylePr w:type="firstCol">
      <w:rPr>
        <w:b/>
        <w:color w:val="404040"/>
      </w:rPr>
    </w:tblStylePr>
    <w:tblStylePr w:type="firstRow">
      <w:rPr>
        <w:b/>
        <w:color w:val="404040"/>
      </w:rPr>
      <w:tblPr/>
      <w:tcPr>
        <w:tcBorders>
          <w:top w:val="nil"/>
          <w:left w:val="nil"/>
          <w:bottom w:val="single" w:sz="4" w:space="0" w:color="000000" w:themeColor="text1"/>
          <w:right w:val="nil"/>
        </w:tcBorders>
      </w:tcPr>
    </w:tblStylePr>
    <w:tblStylePr w:type="lastCol">
      <w:rPr>
        <w:b/>
        <w:color w:val="404040"/>
      </w:rPr>
    </w:tblStylePr>
    <w:tblStylePr w:type="lastRow">
      <w:rPr>
        <w:b/>
        <w:color w:val="404040"/>
      </w:rPr>
      <w:tblPr/>
      <w:tcPr>
        <w:tcBorders>
          <w:top w:val="single" w:sz="4" w:space="0" w:color="000000" w:themeColor="text1"/>
          <w:left w:val="nil"/>
          <w:bottom w:val="nil"/>
          <w:right w:val="nil"/>
        </w:tcBorders>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band1Horz">
      <w:rPr>
        <w:rFonts w:ascii="Arial" w:hAnsi="Arial"/>
        <w:color w:val="404040"/>
        <w:sz w:val="22"/>
      </w:rPr>
      <w:tblPr/>
      <w:tcPr>
        <w:shd w:val="clear" w:color="BFBFBF" w:fill="auto" w:themeColor="text1" w:themeTint="40"/>
      </w:tcPr>
    </w:tblStylePr>
    <w:tblStylePr w:type="band1Vert">
      <w:rPr>
        <w:rFonts w:ascii="Arial" w:hAnsi="Arial"/>
        <w:color w:val="404040"/>
        <w:sz w:val="22"/>
      </w:rPr>
      <w:tblPr/>
      <w:tcPr>
        <w:shd w:val="clear" w:color="BFBFBF" w:fill="auto" w:themeColor="text1" w:themeTint="40"/>
      </w:tcPr>
    </w:tblStylePr>
    <w:tblStylePr w:type="firstCol">
      <w:rPr>
        <w:rFonts w:ascii="Arial" w:hAnsi="Arial"/>
        <w:b/>
        <w:color w:val="404040"/>
        <w:sz w:val="22"/>
      </w:rPr>
    </w:tblStyle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Col">
      <w:rPr>
        <w:rFonts w:ascii="Arial" w:hAnsi="Arial"/>
        <w:b/>
        <w:color w:val="404040"/>
        <w:sz w:val="22"/>
      </w:r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band1Horz">
      <w:rPr>
        <w:rFonts w:ascii="Arial" w:hAnsi="Arial"/>
        <w:color w:val="404040"/>
        <w:sz w:val="22"/>
      </w:rPr>
      <w:tblPr/>
      <w:tcPr>
        <w:tcBorders>
          <w:top w:val="single" w:sz="4" w:space="0" w:color="000000" w:themeColor="text1"/>
          <w:bottom w:val="single" w:sz="4" w:space="0" w:color="000000" w:themeColor="text1"/>
        </w:tcBorders>
      </w:tc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firstCol">
      <w:rPr>
        <w:b/>
        <w:color w:val="404040"/>
      </w:rPr>
    </w:tblStylePr>
    <w:tblStylePr w:type="firstRow">
      <w:rPr>
        <w:rFonts w:ascii="Arial" w:hAnsi="Arial"/>
        <w:b/>
        <w:color w:val="FFFFFF"/>
        <w:sz w:val="22"/>
      </w:rPr>
      <w:tblPr/>
      <w:tcPr>
        <w:shd w:val="clear" w:color="000000" w:fill="auto" w:themeColor="text1"/>
      </w:tcPr>
    </w:tblStylePr>
    <w:tblStylePr w:type="lastCol">
      <w:rPr>
        <w:b/>
        <w:color w:val="404040"/>
      </w:rPr>
    </w:tblStylePr>
    <w:tblStylePr w:type="lastRow">
      <w:rPr>
        <w:b/>
        <w:color w:val="404040"/>
      </w:r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band1Horz">
      <w:rPr>
        <w:rFonts w:ascii="Arial" w:hAnsi="Arial"/>
        <w:color w:val="404040"/>
        <w:sz w:val="22"/>
      </w:rPr>
      <w:tblPr/>
      <w:tcPr>
        <w:shd w:val="clear" w:color="BFBFBF" w:fill="auto" w:themeColor="text1" w:themeTint="40"/>
      </w:tcPr>
    </w:tblStylePr>
    <w:tblStylePr w:type="band1Vert">
      <w:rPr>
        <w:rFonts w:ascii="Arial" w:hAnsi="Arial"/>
        <w:color w:val="404040"/>
        <w:sz w:val="22"/>
      </w:rPr>
      <w:tblPr/>
      <w:tcPr>
        <w:shd w:val="clear" w:color="BFBFBF" w:fill="auto" w:themeColor="text1" w:themeTint="40"/>
      </w:tcPr>
    </w:tblStylePr>
    <w:tblStylePr w:type="firstCol">
      <w:rPr>
        <w:b/>
        <w:color w:val="404040"/>
      </w:rPr>
    </w:tblStylePr>
    <w:tblStylePr w:type="firstRow">
      <w:rPr>
        <w:rFonts w:ascii="Arial" w:hAnsi="Arial"/>
        <w:b/>
        <w:color w:val="FFFFFF"/>
        <w:sz w:val="22"/>
      </w:rPr>
      <w:tblPr/>
      <w:tcPr>
        <w:shd w:val="clear" w:color="000000" w:fill="auto" w:themeColor="text1"/>
      </w:tcPr>
    </w:tblStylePr>
    <w:tblStylePr w:type="lastCol">
      <w:rPr>
        <w:b/>
        <w:color w:val="404040"/>
      </w:rPr>
    </w:tblStylePr>
    <w:tblStylePr w:type="lastRow">
      <w:rPr>
        <w:b/>
        <w:color w:val="404040"/>
      </w:r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fill="auto" w:themeColor="text1" w:themeTint="80"/>
    </w:tblPr>
    <w:tblStylePr w:type="band1Horz">
      <w:tblPr/>
      <w:tcPr>
        <w:tcBorders>
          <w:top w:val="single" w:sz="4" w:space="0" w:color="FFFFFF" w:themeColor="light1"/>
          <w:bottom w:val="single" w:sz="4" w:space="0" w:color="FFFFFF" w:themeColor="light1"/>
        </w:tcBorders>
        <w:shd w:val="clear" w:color="7F7F7F" w:fill="auto" w:themeColor="text1" w:themeTint="80"/>
      </w:tcPr>
    </w:tblStylePr>
    <w:tblStylePr w:type="band1Vert">
      <w:tblPr/>
      <w:tcPr>
        <w:tcBorders>
          <w:left w:val="single" w:sz="4" w:space="0" w:color="FFFFFF" w:themeColor="light1"/>
          <w:right w:val="single" w:sz="4" w:space="0" w:color="FFFFFF" w:themeColor="light1"/>
        </w:tcBorders>
        <w:shd w:val="clear" w:color="7F7F7F" w:fill="auto" w:themeColor="text1" w:themeTint="80"/>
      </w:tcPr>
    </w:tblStylePr>
    <w:tblStylePr w:type="band2Horz">
      <w:tblPr/>
      <w:tcPr>
        <w:tcBorders>
          <w:top w:val="single" w:sz="4" w:space="0" w:color="FFFFFF" w:themeColor="light1"/>
          <w:bottom w:val="single" w:sz="4" w:space="0" w:color="FFFFFF" w:themeColor="light1"/>
        </w:tcBorders>
        <w:shd w:val="clear" w:color="7F7F7F" w:fill="auto" w:themeColor="text1" w:themeTint="80"/>
      </w:tcPr>
    </w:tblStylePr>
    <w:tblStylePr w:type="band2Vert">
      <w:tblPr/>
      <w:tcPr>
        <w:tcBorders>
          <w:left w:val="single" w:sz="4" w:space="0" w:color="FFFFFF" w:themeColor="light1"/>
          <w:right w:val="single" w:sz="4" w:space="0" w:color="FFFFFF" w:themeColor="light1"/>
        </w:tcBorders>
      </w:tc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fill="auto" w:themeColor="text1" w:themeTint="80"/>
      </w:tcPr>
    </w:tblStylePr>
    <w:tblStylePr w:type="lastCol">
      <w:tblPr/>
      <w:tcPr>
        <w:tcBorders>
          <w:left w:val="single" w:sz="4" w:space="0" w:color="FFFFFF" w:themeColor="light1"/>
          <w:right w:val="single" w:sz="32" w:space="0" w:color="7F7F7F" w:themeColor="text1" w:themeTint="80"/>
        </w:tcBorders>
      </w:tcPr>
    </w:tblStylePr>
    <w:tblStylePr w:type="lastRow">
      <w:rPr>
        <w:rFonts w:ascii="Arial" w:hAnsi="Arial"/>
        <w:b/>
        <w:color w:val="FFFFFF" w:themeColor="light1"/>
        <w:sz w:val="22"/>
      </w:rPr>
    </w:tblStylePr>
  </w:style>
  <w:style w:type="table"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band1Horz">
      <w:rPr>
        <w:rFonts w:ascii="Arial" w:hAnsi="Arial"/>
        <w:color w:val="000000" w:themeColor="text1"/>
        <w:sz w:val="22"/>
      </w:rPr>
      <w:tblPr/>
      <w:tcPr>
        <w:shd w:val="clear" w:color="BFBFBF" w:fill="auto" w:themeColor="text1" w:themeTint="40"/>
      </w:tcPr>
    </w:tblStylePr>
    <w:tblStylePr w:type="band1Vert">
      <w:tblPr/>
      <w:tcPr>
        <w:shd w:val="clear" w:color="BFBFBF" w:fill="auto" w:themeColor="text1" w:theme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blPr/>
      <w:tcPr>
        <w:tcBorders>
          <w:bottom w:val="single" w:sz="4" w:space="0" w:color="7F7F7F" w:themeColor="text1" w:themeTint="80"/>
        </w:tcBorders>
      </w:tcPr>
    </w:tblStylePr>
    <w:tblStylePr w:type="lastCol">
      <w:rPr>
        <w:b/>
        <w:color w:val="000000" w:themeColor="text1"/>
      </w:rPr>
    </w:tblStylePr>
    <w:tblStylePr w:type="lastRow">
      <w:rPr>
        <w:b/>
        <w:color w:val="000000" w:themeColor="text1"/>
      </w:rPr>
      <w:tblPr/>
      <w:tcPr>
        <w:tcBorders>
          <w:top w:val="single" w:sz="4" w:space="0" w:color="7F7F7F" w:themeColor="text1" w:themeTint="80"/>
        </w:tcBorders>
      </w:tcPr>
    </w:tblStylePr>
  </w:style>
  <w:style w:type="table"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band1Horz">
      <w:rPr>
        <w:rFonts w:ascii="Arial" w:hAnsi="Arial"/>
        <w:color w:val="7F7F7F" w:themeColor="text1" w:themeShade="95" w:themeTint="80"/>
        <w:sz w:val="22"/>
      </w:rPr>
      <w:tblPr/>
      <w:tcPr>
        <w:shd w:val="clear" w:color="BFBFBF" w:fill="auto" w:themeColor="text1" w:themeTint="40"/>
      </w:tcPr>
    </w:tblStylePr>
    <w:tblStylePr w:type="band1Vert">
      <w:tblPr/>
      <w:tcPr>
        <w:shd w:val="clear" w:color="BFBFBF" w:fill="auto" w:themeColor="text1" w:themeTint="40"/>
      </w:tcPr>
    </w:tblStylePr>
    <w:tblStylePr w:type="band2Horz">
      <w:rPr>
        <w:rFonts w:ascii="Arial" w:hAnsi="Arial"/>
        <w:color w:val="7F7F7F" w:themeColor="text1" w:themeShade="95" w:themeTint="80"/>
        <w:sz w:val="22"/>
      </w:r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FFFFFF" w:fill="auto" w:themeColor="light1"/>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FFFFFF" w:fill="auto" w:themeColor="light1"/>
      </w:tcPr>
    </w:tblStylePr>
  </w:style>
  <w:style w:type="character" w:customStyle="1" w:styleId="FootnoteTextChar">
    <w:name w:val="Footnote Text Char"/>
    <w:uiPriority w:val="99"/>
    <w:rPr>
      <w:sz w:val="18"/>
    </w:rPr>
  </w:style>
  <w:style w:type="paragraph" w:styleId="EndnoteText">
    <w:name w:val="endnote text"/>
    <w:basedOn w:val="Normal"/>
    <w:link w:val="a"/>
    <w:uiPriority w:val="99"/>
    <w:semiHidden/>
    <w:unhideWhenUsed/>
    <w:rPr>
      <w:sz w:val="20"/>
    </w:rPr>
  </w:style>
  <w:style w:type="character" w:customStyle="1" w:styleId="a">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character" w:customStyle="1" w:styleId="1">
    <w:name w:val="Заголовок 1 Знак"/>
    <w:link w:val="Heading1"/>
    <w:uiPriority w:val="9"/>
    <w:rPr>
      <w:rFonts w:ascii="Arial" w:eastAsia="Arial" w:hAnsi="Arial"/>
      <w:sz w:val="40"/>
      <w:szCs w:val="40"/>
      <w:lang w:bidi="ar-SA"/>
    </w:rPr>
  </w:style>
  <w:style w:type="character" w:customStyle="1" w:styleId="2">
    <w:name w:val="Заголовок 2 Знак"/>
    <w:link w:val="Heading2"/>
    <w:uiPriority w:val="9"/>
    <w:rPr>
      <w:rFonts w:ascii="Arial" w:eastAsia="Arial" w:hAnsi="Arial"/>
      <w:sz w:val="34"/>
      <w:lang w:bidi="ar-SA"/>
    </w:rPr>
  </w:style>
  <w:style w:type="character" w:customStyle="1" w:styleId="3">
    <w:name w:val="Заголовок 3 Знак"/>
    <w:link w:val="Heading3"/>
    <w:uiPriority w:val="9"/>
    <w:rPr>
      <w:rFonts w:ascii="Arial" w:eastAsia="Arial" w:hAnsi="Arial"/>
      <w:sz w:val="30"/>
      <w:szCs w:val="30"/>
      <w:lang w:bidi="ar-SA"/>
    </w:rPr>
  </w:style>
  <w:style w:type="character" w:customStyle="1" w:styleId="4">
    <w:name w:val="Заголовок 4 Знак"/>
    <w:link w:val="Heading4"/>
    <w:uiPriority w:val="9"/>
    <w:rPr>
      <w:rFonts w:ascii="Arial" w:eastAsia="Arial" w:hAnsi="Arial"/>
      <w:b/>
      <w:bCs/>
      <w:sz w:val="26"/>
      <w:szCs w:val="26"/>
      <w:lang w:bidi="ar-SA"/>
    </w:rPr>
  </w:style>
  <w:style w:type="character" w:customStyle="1" w:styleId="5">
    <w:name w:val="Заголовок 5 Знак"/>
    <w:link w:val="Heading5"/>
    <w:uiPriority w:val="9"/>
    <w:rPr>
      <w:rFonts w:ascii="Arial" w:eastAsia="Arial" w:hAnsi="Arial"/>
      <w:b/>
      <w:bCs/>
      <w:sz w:val="24"/>
      <w:szCs w:val="24"/>
      <w:lang w:bidi="ar-SA"/>
    </w:rPr>
  </w:style>
  <w:style w:type="character" w:customStyle="1" w:styleId="6">
    <w:name w:val="Заголовок 6 Знак"/>
    <w:link w:val="Heading6"/>
    <w:uiPriority w:val="9"/>
    <w:rPr>
      <w:rFonts w:ascii="Arial" w:eastAsia="Arial" w:hAnsi="Arial"/>
      <w:b/>
      <w:bCs/>
      <w:sz w:val="22"/>
      <w:szCs w:val="22"/>
      <w:lang w:bidi="ar-SA"/>
    </w:rPr>
  </w:style>
  <w:style w:type="character" w:customStyle="1" w:styleId="7">
    <w:name w:val="Заголовок 7 Знак"/>
    <w:link w:val="Heading7"/>
    <w:uiPriority w:val="9"/>
    <w:rPr>
      <w:rFonts w:ascii="Arial" w:eastAsia="Arial" w:hAnsi="Arial"/>
      <w:b/>
      <w:bCs/>
      <w:i/>
      <w:iCs/>
      <w:sz w:val="22"/>
      <w:szCs w:val="22"/>
      <w:lang w:bidi="ar-SA"/>
    </w:rPr>
  </w:style>
  <w:style w:type="character" w:customStyle="1" w:styleId="8">
    <w:name w:val="Заголовок 8 Знак"/>
    <w:link w:val="Heading8"/>
    <w:uiPriority w:val="9"/>
    <w:rPr>
      <w:rFonts w:ascii="Arial" w:eastAsia="Arial" w:hAnsi="Arial"/>
      <w:i/>
      <w:iCs/>
      <w:sz w:val="22"/>
      <w:szCs w:val="22"/>
      <w:lang w:bidi="ar-SA"/>
    </w:rPr>
  </w:style>
  <w:style w:type="character" w:customStyle="1" w:styleId="9">
    <w:name w:val="Заголовок 9 Знак"/>
    <w:link w:val="Heading9"/>
    <w:uiPriority w:val="9"/>
    <w:rPr>
      <w:rFonts w:ascii="Arial" w:eastAsia="Arial" w:hAnsi="Arial"/>
      <w:i/>
      <w:iCs/>
      <w:sz w:val="21"/>
      <w:szCs w:val="21"/>
      <w:lang w:bidi="ar-SA"/>
    </w:rPr>
  </w:style>
  <w:style w:type="paragraph" w:styleId="ListParagraph">
    <w:name w:val="List Paragraph"/>
    <w:uiPriority w:val="34"/>
    <w:qFormat/>
    <w:pPr>
      <w:pBdr>
        <w:top w:val="nil"/>
        <w:left w:val="nil"/>
        <w:bottom w:val="nil"/>
        <w:right w:val="nil"/>
        <w:between w:val="nil"/>
      </w:pBdr>
      <w:ind w:left="720"/>
      <w:contextualSpacing/>
    </w:pPr>
    <w:rPr>
      <w:sz w:val="22"/>
      <w:szCs w:val="22"/>
      <w:lang w:eastAsia="en-US" w:bidi="en-US"/>
    </w:rPr>
  </w:style>
  <w:style w:type="paragraph" w:styleId="NoSpacing">
    <w:name w:val="No Spacing"/>
    <w:uiPriority w:val="1"/>
    <w:qFormat/>
    <w:pPr>
      <w:pBdr>
        <w:top w:val="nil"/>
        <w:left w:val="nil"/>
        <w:bottom w:val="nil"/>
        <w:right w:val="nil"/>
        <w:between w:val="nil"/>
      </w:pBdr>
    </w:pPr>
    <w:rPr>
      <w:sz w:val="22"/>
      <w:szCs w:val="22"/>
      <w:lang w:eastAsia="en-US" w:bidi="en-US"/>
    </w:rPr>
  </w:style>
  <w:style w:type="paragraph" w:styleId="Title">
    <w:name w:val="Title"/>
    <w:link w:val="a0"/>
    <w:uiPriority w:val="10"/>
    <w:qFormat/>
    <w:pPr>
      <w:pBdr>
        <w:top w:val="nil"/>
        <w:left w:val="nil"/>
        <w:bottom w:val="nil"/>
        <w:right w:val="nil"/>
        <w:between w:val="nil"/>
      </w:pBdr>
      <w:spacing w:before="300" w:after="200"/>
      <w:contextualSpacing/>
    </w:pPr>
    <w:rPr>
      <w:sz w:val="48"/>
      <w:szCs w:val="48"/>
    </w:rPr>
  </w:style>
  <w:style w:type="character" w:customStyle="1" w:styleId="a0">
    <w:name w:val="Заголовок Знак"/>
    <w:link w:val="Title"/>
    <w:uiPriority w:val="10"/>
    <w:rPr>
      <w:sz w:val="48"/>
      <w:szCs w:val="48"/>
      <w:lang w:bidi="ar-SA"/>
    </w:rPr>
  </w:style>
  <w:style w:type="paragraph" w:styleId="Subtitle">
    <w:name w:val="Subtitle"/>
    <w:link w:val="a1"/>
    <w:uiPriority w:val="11"/>
    <w:qFormat/>
    <w:pPr>
      <w:pBdr>
        <w:top w:val="nil"/>
        <w:left w:val="nil"/>
        <w:bottom w:val="nil"/>
        <w:right w:val="nil"/>
        <w:between w:val="nil"/>
      </w:pBdr>
      <w:spacing w:before="200" w:after="200"/>
    </w:pPr>
    <w:rPr>
      <w:sz w:val="24"/>
      <w:szCs w:val="24"/>
    </w:rPr>
  </w:style>
  <w:style w:type="character" w:customStyle="1" w:styleId="a1">
    <w:name w:val="Подзаголовок Знак"/>
    <w:link w:val="Subtitle"/>
    <w:uiPriority w:val="11"/>
    <w:rPr>
      <w:sz w:val="24"/>
      <w:szCs w:val="24"/>
      <w:lang w:bidi="ar-SA"/>
    </w:rPr>
  </w:style>
  <w:style w:type="paragraph" w:styleId="Quote">
    <w:name w:val="Quote"/>
    <w:link w:val="20"/>
    <w:uiPriority w:val="29"/>
    <w:qFormat/>
    <w:pPr>
      <w:pBdr>
        <w:top w:val="nil"/>
        <w:left w:val="nil"/>
        <w:bottom w:val="nil"/>
        <w:right w:val="nil"/>
        <w:between w:val="nil"/>
      </w:pBdr>
      <w:ind w:left="720" w:right="720"/>
    </w:pPr>
    <w:rPr>
      <w:i/>
    </w:rPr>
  </w:style>
  <w:style w:type="character" w:customStyle="1" w:styleId="20">
    <w:name w:val="Цитата 2 Знак"/>
    <w:link w:val="Quote"/>
    <w:uiPriority w:val="29"/>
    <w:rPr>
      <w:i/>
      <w:lang w:val="ru-RU" w:eastAsia="ru-RU" w:bidi="ar-SA"/>
    </w:rPr>
  </w:style>
  <w:style w:type="paragraph" w:styleId="IntenseQuote">
    <w:name w:val="Intense Quote"/>
    <w:link w:val="a2"/>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2">
    <w:name w:val="Выделенная цитата Знак"/>
    <w:link w:val="IntenseQuote"/>
    <w:uiPriority w:val="30"/>
    <w:rPr>
      <w:i/>
      <w:shd w:val="clear" w:color="auto" w:fill="F2F2F2"/>
      <w:lang w:val="ru-RU" w:eastAsia="ru-RU" w:bidi="ar-SA"/>
    </w:rPr>
  </w:style>
  <w:style w:type="paragraph" w:styleId="Header">
    <w:name w:val="header"/>
    <w:basedOn w:val="Normal"/>
    <w:link w:val="a3"/>
    <w:uiPriority w:val="99"/>
    <w:pPr>
      <w:tabs>
        <w:tab w:val="center" w:pos="4153"/>
        <w:tab w:val="right" w:pos="8306"/>
      </w:tabs>
      <w:spacing w:before="120" w:after="240"/>
      <w:jc w:val="center"/>
    </w:pPr>
    <w:rPr>
      <w:b/>
      <w:caps/>
      <w:sz w:val="28"/>
    </w:rPr>
  </w:style>
  <w:style w:type="character" w:customStyle="1" w:styleId="a3">
    <w:name w:val="Верхний колонтитул Знак"/>
    <w:link w:val="Header"/>
    <w:uiPriority w:val="99"/>
  </w:style>
  <w:style w:type="paragraph" w:styleId="Footer">
    <w:name w:val="footer"/>
    <w:basedOn w:val="Normal"/>
    <w:link w:val="a4"/>
    <w:uiPriority w:val="99"/>
    <w:pPr>
      <w:tabs>
        <w:tab w:val="center" w:pos="4153"/>
        <w:tab w:val="right" w:pos="8306"/>
      </w:tabs>
    </w:pPr>
  </w:style>
  <w:style w:type="character" w:customStyle="1" w:styleId="a4">
    <w:name w:val="Нижний колонтитул Знак"/>
    <w:link w:val="Footer"/>
    <w:uiPriority w:val="99"/>
  </w:style>
  <w:style w:type="table" w:styleId="TableGrid">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
    <w:name w:val="Таблица простая 21"/>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
    <w:name w:val="Таблица простая 3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Hyperlink">
    <w:name w:val="Hyperlink"/>
    <w:uiPriority w:val="99"/>
    <w:unhideWhenUsed/>
    <w:rPr>
      <w:color w:val="0000FF"/>
      <w:u w:val="single"/>
    </w:rPr>
  </w:style>
  <w:style w:type="paragraph" w:styleId="FootnoteText">
    <w:name w:val="footnote text"/>
    <w:link w:val="a5"/>
    <w:uiPriority w:val="99"/>
    <w:semiHidden/>
    <w:unhideWhenUsed/>
    <w:pPr>
      <w:pBdr>
        <w:top w:val="nil"/>
        <w:left w:val="nil"/>
        <w:bottom w:val="nil"/>
        <w:right w:val="nil"/>
        <w:between w:val="nil"/>
      </w:pBdr>
      <w:spacing w:after="40"/>
    </w:pPr>
    <w:rPr>
      <w:sz w:val="18"/>
    </w:rPr>
  </w:style>
  <w:style w:type="character" w:customStyle="1" w:styleId="a5">
    <w:name w:val="Текст сноски Знак"/>
    <w:link w:val="FootnoteText"/>
    <w:uiPriority w:val="99"/>
    <w:semiHidden/>
    <w:rPr>
      <w:sz w:val="18"/>
      <w:lang w:bidi="ar-SA"/>
    </w:rPr>
  </w:style>
  <w:style w:type="character" w:styleId="FootnoteReference">
    <w:name w:val="footnote reference"/>
    <w:uiPriority w:val="99"/>
    <w:unhideWhenUsed/>
    <w:rPr>
      <w:vertAlign w:val="superscript"/>
    </w:rPr>
  </w:style>
  <w:style w:type="paragraph" w:styleId="TOC1">
    <w:name w:val="toc 1"/>
    <w:uiPriority w:val="39"/>
    <w:unhideWhenUsed/>
    <w:pPr>
      <w:pBdr>
        <w:top w:val="nil"/>
        <w:left w:val="nil"/>
        <w:bottom w:val="nil"/>
        <w:right w:val="nil"/>
        <w:between w:val="nil"/>
      </w:pBdr>
      <w:spacing w:after="57"/>
    </w:pPr>
    <w:rPr>
      <w:sz w:val="22"/>
      <w:szCs w:val="22"/>
      <w:lang w:eastAsia="en-US" w:bidi="en-US"/>
    </w:rPr>
  </w:style>
  <w:style w:type="paragraph" w:styleId="TOC2">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TOC3">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TOC4">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TOC5">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TOC6">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TOC7">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TOC8">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TOC9">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TOCHeading">
    <w:name w:val="TOC Heading"/>
    <w:uiPriority w:val="39"/>
    <w:unhideWhenUsed/>
    <w:pPr>
      <w:pBdr>
        <w:top w:val="nil"/>
        <w:left w:val="nil"/>
        <w:bottom w:val="nil"/>
        <w:right w:val="nil"/>
        <w:between w:val="nil"/>
      </w:pBdr>
    </w:pPr>
    <w:rPr>
      <w:sz w:val="22"/>
      <w:szCs w:val="22"/>
      <w:lang w:eastAsia="en-US" w:bidi="en-US"/>
    </w:rPr>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pPr>
      <w:jc w:val="center"/>
    </w:pPr>
    <w:rPr>
      <w:b/>
      <w:sz w:val="28"/>
    </w:rPr>
  </w:style>
  <w:style w:type="paragraph" w:styleId="BodyText2">
    <w:name w:val="Body Text 2"/>
    <w:basedOn w:val="Normal"/>
    <w:pPr>
      <w:spacing w:before="120"/>
      <w:ind w:right="5102"/>
      <w:jc w:val="center"/>
    </w:pPr>
  </w:style>
  <w:style w:type="paragraph" w:customStyle="1" w:styleId="a6">
    <w:name w:val="Обращение"/>
    <w:basedOn w:val="Normal"/>
    <w:next w:val="Normal"/>
    <w:pPr>
      <w:spacing w:before="240" w:after="120"/>
      <w:jc w:val="center"/>
    </w:pPr>
    <w:rPr>
      <w:b/>
    </w:rPr>
  </w:style>
  <w:style w:type="paragraph" w:customStyle="1" w:styleId="a7">
    <w:name w:val="Адресные реквизиты"/>
    <w:basedOn w:val="BodyText"/>
    <w:next w:val="BodyText"/>
    <w:pPr>
      <w:jc w:val="left"/>
    </w:pPr>
    <w:rPr>
      <w:sz w:val="16"/>
    </w:rPr>
  </w:style>
  <w:style w:type="paragraph" w:customStyle="1" w:styleId="a8">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paragraph" w:styleId="BalloonText">
    <w:name w:val="Balloon Text"/>
    <w:basedOn w:val="Normal"/>
    <w:link w:val="a9"/>
    <w:uiPriority w:val="99"/>
    <w:semiHidden/>
    <w:unhideWhenUsed/>
    <w:rPr>
      <w:rFonts w:ascii="Tahoma" w:hAnsi="Tahoma"/>
      <w:sz w:val="16"/>
      <w:szCs w:val="16"/>
      <w:lang w:bidi="ar-SA"/>
    </w:rPr>
  </w:style>
  <w:style w:type="character" w:customStyle="1" w:styleId="a9">
    <w:name w:val="Текст выноски Знак"/>
    <w:link w:val="BalloonText"/>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BodyTextIndent">
    <w:name w:val="Body Text Indent"/>
    <w:basedOn w:val="Normal"/>
    <w:link w:val="a10"/>
    <w:uiPriority w:val="99"/>
    <w:semiHidden/>
    <w:unhideWhenUsed/>
    <w:pPr>
      <w:spacing w:after="120"/>
      <w:ind w:left="283"/>
    </w:pPr>
  </w:style>
  <w:style w:type="character" w:customStyle="1" w:styleId="a10">
    <w:name w:val="Основной текст с отступом Знак"/>
    <w:link w:val="BodyTextIndent"/>
    <w:uiPriority w:val="99"/>
    <w:semiHidden/>
    <w:rPr>
      <w:sz w:val="22"/>
      <w:szCs w:val="22"/>
      <w:lang w:eastAsia="en-US" w:bidi="en-US"/>
    </w:rPr>
  </w:style>
  <w:style w:type="paragraph" w:customStyle="1" w:styleId="ConsPlusTitle">
    <w:name w:val="ConsPlusTitle"/>
    <w:pPr>
      <w:widowControl w:val="0"/>
      <w:pBdr>
        <w:top w:val="nil"/>
        <w:left w:val="nil"/>
        <w:bottom w:val="nil"/>
        <w:right w:val="nil"/>
        <w:between w:val="nil"/>
      </w:pBd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consultantplus://offline/ref=D523E86BA2935134C04978F4A5A7A36278CB6038695CAE4F6FAE2C82C3978C9DE5BB2B67819AD8DD788CB1A1gFF" TargetMode="External" /><Relationship Id="rId5" Type="http://schemas.openxmlformats.org/officeDocument/2006/relationships/hyperlink" Target="consultantplus://offline/ref=D523E86BA2935134C04978F4A5A7A36278CB6038695CAE4F6FAE2C82C3978C9DE5BB2B67819AD8DD788CB6A1gFF" TargetMode="External" /><Relationship Id="rId6" Type="http://schemas.openxmlformats.org/officeDocument/2006/relationships/hyperlink" Target="https://login.consultant.ru/link/?req=doc&amp;base=RLAW049&amp;n=175638&amp;dst=100096" TargetMode="External" /><Relationship Id="rId7" Type="http://schemas.openxmlformats.org/officeDocument/2006/relationships/hyperlink" Target="consultantplus://offline/ref=2EBF21FFDA401284AC5476D743A9072C55839A56CB0626B4476481AFB2130A68P0ACI" TargetMode="External" /><Relationship Id="rId8" Type="http://schemas.openxmlformats.org/officeDocument/2006/relationships/header" Target="header1.xml" /><Relationship Id="rId9" Type="http://schemas.openxmlformats.org/officeDocument/2006/relationships/header" Target="header2.xml"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revision>24</cp:revision>
  <dcterms:created xsi:type="dcterms:W3CDTF">2023-07-12T03:10:00Z</dcterms:created>
  <dcterms:modified xsi:type="dcterms:W3CDTF">2025-03-20T07:02:38Z</dcterms:modified>
</cp:coreProperties>
</file>