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0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А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нализ обращений граждан по финансовым вопросам, поступивши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х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в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0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Департамент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ф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инансов Томской области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в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2024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год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у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color w:val="00b050"/>
          <w:sz w:val="24"/>
          <w:szCs w:val="24"/>
        </w:rPr>
      </w:pP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</w:p>
    <w:p>
      <w:pPr>
        <w:pStyle w:val="844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В </w:t>
      </w:r>
      <w:r>
        <w:rPr>
          <w:rFonts w:ascii="PT Astra Serif" w:hAnsi="PT Astra Serif" w:eastAsia="Calibri"/>
          <w:highlight w:val="white"/>
        </w:rPr>
        <w:t xml:space="preserve">2024</w:t>
      </w:r>
      <w:r>
        <w:rPr>
          <w:rFonts w:ascii="PT Astra Serif" w:hAnsi="PT Astra Serif" w:eastAsia="Calibri"/>
          <w:highlight w:val="white"/>
        </w:rPr>
        <w:t xml:space="preserve"> год</w:t>
      </w:r>
      <w:r>
        <w:rPr>
          <w:rFonts w:ascii="PT Astra Serif" w:hAnsi="PT Astra Serif" w:eastAsia="Calibri"/>
          <w:highlight w:val="white"/>
        </w:rPr>
        <w:t xml:space="preserve">у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в Департамент финанс</w:t>
      </w:r>
      <w:r>
        <w:rPr>
          <w:rFonts w:ascii="PT Astra Serif" w:hAnsi="PT Astra Serif" w:eastAsia="Calibri"/>
          <w:highlight w:val="white"/>
        </w:rPr>
        <w:t xml:space="preserve">ов Томской области </w:t>
      </w:r>
      <w:r>
        <w:rPr>
          <w:rFonts w:ascii="PT Astra Serif" w:hAnsi="PT Astra Serif" w:eastAsia="Calibri"/>
          <w:highlight w:val="white"/>
        </w:rPr>
        <w:t xml:space="preserve">(далее – Департамент) </w:t>
        <w:br/>
        <w:t xml:space="preserve">и Региональный центр финансовой грамотности Томской области </w:t>
      </w:r>
      <w:r>
        <w:rPr>
          <w:rFonts w:ascii="PT Astra Serif" w:hAnsi="PT Astra Serif" w:eastAsia="Calibri"/>
          <w:highlight w:val="white"/>
        </w:rPr>
        <w:t xml:space="preserve">поступило </w:t>
      </w:r>
      <w:r>
        <w:rPr>
          <w:rFonts w:ascii="PT Astra Serif" w:hAnsi="PT Astra Serif" w:eastAsia="Calibri"/>
          <w:highlight w:val="white"/>
        </w:rPr>
        <w:t xml:space="preserve">462 обращения </w:t>
      </w:r>
      <w:r>
        <w:rPr>
          <w:rFonts w:ascii="PT Astra Serif" w:hAnsi="PT Astra Serif" w:eastAsia="Calibri"/>
          <w:highlight w:val="white"/>
        </w:rPr>
        <w:t xml:space="preserve">граждан (далее – обращение) </w:t>
      </w:r>
      <w:r>
        <w:rPr>
          <w:rFonts w:ascii="PT Astra Serif" w:hAnsi="PT Astra Serif" w:eastAsia="Calibri"/>
          <w:highlight w:val="white"/>
        </w:rPr>
        <w:t xml:space="preserve"> из них</w:t>
      </w:r>
      <w:r>
        <w:rPr>
          <w:rFonts w:ascii="PT Astra Serif" w:hAnsi="PT Astra Serif" w:eastAsia="Calibri"/>
          <w:highlight w:val="white"/>
        </w:rPr>
        <w:t xml:space="preserve"> 327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обращения </w:t>
      </w:r>
      <w:r>
        <w:rPr>
          <w:rFonts w:ascii="PT Astra Serif" w:hAnsi="PT Astra Serif" w:eastAsia="Calibri"/>
          <w:highlight w:val="white"/>
        </w:rPr>
        <w:t xml:space="preserve">явля</w:t>
      </w:r>
      <w:r>
        <w:rPr>
          <w:rFonts w:ascii="PT Astra Serif" w:hAnsi="PT Astra Serif" w:eastAsia="Calibri"/>
          <w:highlight w:val="white"/>
        </w:rPr>
        <w:t xml:space="preserve">ю</w:t>
      </w:r>
      <w:r>
        <w:rPr>
          <w:rFonts w:ascii="PT Astra Serif" w:hAnsi="PT Astra Serif" w:eastAsia="Calibri"/>
          <w:highlight w:val="white"/>
        </w:rPr>
        <w:t xml:space="preserve">тся </w:t>
      </w:r>
      <w:r>
        <w:rPr>
          <w:rFonts w:ascii="PT Astra Serif" w:hAnsi="PT Astra Serif" w:eastAsia="Calibri"/>
          <w:highlight w:val="white"/>
        </w:rPr>
        <w:t xml:space="preserve">устн</w:t>
      </w:r>
      <w:r>
        <w:rPr>
          <w:rFonts w:ascii="PT Astra Serif" w:hAnsi="PT Astra Serif" w:eastAsia="Calibri"/>
          <w:highlight w:val="white"/>
        </w:rPr>
        <w:t xml:space="preserve">ыми, </w:t>
      </w:r>
      <w:r>
        <w:rPr>
          <w:rFonts w:ascii="PT Astra Serif" w:hAnsi="PT Astra Serif" w:eastAsia="Calibri"/>
          <w:highlight w:val="white"/>
        </w:rPr>
        <w:t xml:space="preserve">135 обращени</w:t>
      </w:r>
      <w:r>
        <w:rPr>
          <w:rFonts w:ascii="PT Astra Serif" w:hAnsi="PT Astra Serif" w:eastAsia="Calibri"/>
          <w:highlight w:val="white"/>
        </w:rPr>
        <w:t xml:space="preserve">й - </w:t>
      </w:r>
      <w:r>
        <w:rPr>
          <w:rFonts w:ascii="PT Astra Serif" w:hAnsi="PT Astra Serif" w:eastAsia="Calibri"/>
          <w:highlight w:val="white"/>
        </w:rPr>
        <w:t xml:space="preserve">письменными</w:t>
      </w:r>
      <w:r>
        <w:rPr>
          <w:rFonts w:ascii="PT Astra Serif" w:hAnsi="PT Astra Serif" w:eastAsia="Calibri"/>
          <w:highlight w:val="white"/>
        </w:rPr>
        <w:t xml:space="preserve">.</w:t>
      </w:r>
      <w:r>
        <w:rPr>
          <w:rFonts w:ascii="PT Astra Serif" w:hAnsi="PT Astra Serif" w:eastAsia="Calibri"/>
          <w:highlight w:val="white"/>
        </w:rPr>
      </w:r>
      <w:r>
        <w:rPr>
          <w:rFonts w:ascii="PT Astra Serif" w:hAnsi="PT Astra Serif" w:eastAsia="Calibri"/>
          <w:highlight w:val="white"/>
        </w:rPr>
      </w:r>
    </w:p>
    <w:p>
      <w:pPr>
        <w:pStyle w:val="844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color w:val="ff0000"/>
          <w:highlight w:val="white"/>
        </w:rPr>
      </w:r>
      <w:r>
        <w:rPr>
          <w:rFonts w:ascii="PT Astra Serif" w:hAnsi="PT Astra Serif" w:eastAsia="Calibri"/>
          <w:highlight w:val="white"/>
        </w:rPr>
        <w:t xml:space="preserve">В Департамент было перенаправлено </w:t>
      </w:r>
      <w:r>
        <w:rPr>
          <w:rFonts w:ascii="PT Astra Serif" w:hAnsi="PT Astra Serif" w:eastAsia="Calibri"/>
          <w:color w:val="000000" w:themeColor="text1"/>
          <w:highlight w:val="white"/>
        </w:rPr>
        <w:t xml:space="preserve">11</w:t>
      </w:r>
      <w:r>
        <w:rPr>
          <w:rFonts w:ascii="PT Astra Serif" w:hAnsi="PT Astra Serif" w:eastAsia="Calibri"/>
          <w:color w:val="000000" w:themeColor="text1"/>
          <w:highlight w:val="white"/>
        </w:rPr>
        <w:t xml:space="preserve">0 </w:t>
      </w:r>
      <w:r>
        <w:rPr>
          <w:rFonts w:ascii="PT Astra Serif" w:hAnsi="PT Astra Serif" w:eastAsia="Calibri"/>
          <w:highlight w:val="white"/>
        </w:rPr>
        <w:t xml:space="preserve">обращений</w:t>
      </w:r>
      <w:r>
        <w:rPr>
          <w:rFonts w:ascii="PT Astra Serif" w:hAnsi="PT Astra Serif" w:eastAsia="Calibri"/>
          <w:highlight w:val="white"/>
        </w:rPr>
        <w:t xml:space="preserve"> письменными: из Администрации Президента Российской Федерации</w:t>
      </w:r>
      <w:r>
        <w:rPr>
          <w:rFonts w:ascii="PT Astra Serif" w:hAnsi="PT Astra Serif" w:eastAsia="Calibri"/>
          <w:highlight w:val="white"/>
        </w:rPr>
        <w:t xml:space="preserve">, с Прямой линии с Президентом Российской Федерации, </w:t>
        <w:br/>
        <w:t xml:space="preserve">из Администрации Томской области, </w:t>
      </w:r>
      <w:r>
        <w:rPr>
          <w:rFonts w:ascii="PT Astra Serif" w:hAnsi="PT Astra Serif" w:eastAsia="Calibri"/>
          <w:highlight w:val="white"/>
        </w:rPr>
        <w:t xml:space="preserve">с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П</w:t>
      </w:r>
      <w:r>
        <w:rPr>
          <w:rFonts w:ascii="PT Astra Serif" w:hAnsi="PT Astra Serif" w:eastAsia="Calibri"/>
          <w:highlight w:val="white"/>
        </w:rPr>
        <w:t xml:space="preserve">рямой линии с Губернатором Томской области</w:t>
      </w:r>
      <w:r>
        <w:rPr>
          <w:rFonts w:ascii="PT Astra Serif" w:hAnsi="PT Astra Serif" w:eastAsia="Calibri"/>
          <w:highlight w:val="white"/>
        </w:rPr>
        <w:t xml:space="preserve">, а также от Губернатора Томской о</w:t>
      </w:r>
      <w:r>
        <w:rPr>
          <w:rFonts w:ascii="PT Astra Serif" w:hAnsi="PT Astra Serif" w:eastAsia="Calibri"/>
          <w:highlight w:val="white"/>
        </w:rPr>
        <w:t xml:space="preserve">бласти.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4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yellow"/>
        </w:rPr>
      </w:pP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yellow"/>
        </w:rPr>
      </w:r>
      <w:r>
        <w:rPr>
          <w:rFonts w:ascii="PT Astra Serif" w:hAnsi="PT Astra Serif" w:eastAsia="Calibri"/>
          <w:highlight w:val="yellow"/>
        </w:rPr>
      </w:r>
    </w:p>
    <w:p>
      <w:pPr>
        <w:pStyle w:val="844"/>
        <w:ind w:left="850" w:right="0" w:hanging="850"/>
        <w:jc w:val="both"/>
        <w:spacing w:before="0" w:beforeAutospacing="0" w:after="0" w:afterAutospacing="0"/>
        <w:shd w:val="clear" w:color="auto" w:fill="ffffff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drawing>
          <wp:inline distT="0" distB="0" distL="0" distR="0">
            <wp:extent cx="6480175" cy="2263885"/>
            <wp:effectExtent l="1587" t="1587" r="1587" b="1587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PT Astra Serif" w:hAnsi="PT Astra Serif" w:eastAsia="Calibri"/>
        </w:rPr>
        <w:t xml:space="preserve">           Анализ тематики </w:t>
      </w:r>
      <w:r>
        <w:rPr>
          <w:rFonts w:ascii="PT Astra Serif" w:hAnsi="PT Astra Serif" w:eastAsia="Calibri"/>
        </w:rPr>
        <w:t xml:space="preserve">обращений </w:t>
      </w:r>
      <w:r>
        <w:rPr>
          <w:rFonts w:ascii="PT Astra Serif" w:hAnsi="PT Astra Serif" w:eastAsia="Calibri"/>
        </w:rPr>
        <w:t xml:space="preserve">выявил следующее</w:t>
      </w:r>
      <w:r>
        <w:rPr>
          <w:rFonts w:ascii="PT Astra Serif" w:hAnsi="PT Astra Serif" w:eastAsia="Calibri"/>
        </w:rPr>
        <w:t xml:space="preserve">: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840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49,6%</w:t>
      </w:r>
      <w:r>
        <w:rPr>
          <w:rFonts w:ascii="PT Astra Serif" w:hAnsi="PT Astra Serif"/>
          <w:sz w:val="24"/>
          <w:szCs w:val="24"/>
          <w:lang w:eastAsia="ru-RU"/>
        </w:rPr>
        <w:t xml:space="preserve"> составили вопросы, относящиеся к сфере кредитования: оформление и погашение кредитов, высокая кредитная нагрузка, проблемная задолженность по кредитам, а также условия ипотечных программ;</w:t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0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21,8%</w:t>
      </w:r>
      <w:r>
        <w:rPr>
          <w:rFonts w:ascii="PT Astra Serif" w:hAnsi="PT Astra Serif"/>
          <w:sz w:val="24"/>
          <w:szCs w:val="24"/>
          <w:lang w:eastAsia="ru-RU"/>
        </w:rPr>
        <w:t xml:space="preserve"> иные финансовые вопросы (страхование, банковские вклады, инвестиции и др.);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4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16,8% </w:t>
      </w:r>
      <w:r>
        <w:rPr>
          <w:rFonts w:ascii="PT Astra Serif" w:hAnsi="PT Astra Serif" w:eastAsia="Calibri"/>
        </w:rPr>
        <w:t xml:space="preserve">составили вопросы, касающиеся работы кредит</w:t>
      </w:r>
      <w:r>
        <w:rPr>
          <w:rFonts w:ascii="PT Astra Serif" w:hAnsi="PT Astra Serif" w:eastAsia="Calibri"/>
        </w:rPr>
        <w:t xml:space="preserve">но-потребительских кооперативов;</w:t>
      </w:r>
      <w:r>
        <w:rPr>
          <w:rFonts w:ascii="PT Astra Serif" w:hAnsi="PT Astra Serif" w:eastAsia="Calibri"/>
        </w:rPr>
      </w:r>
    </w:p>
    <w:p>
      <w:pPr>
        <w:pStyle w:val="844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8,4%</w:t>
      </w:r>
      <w:r>
        <w:rPr>
          <w:rFonts w:ascii="PT Astra Serif" w:hAnsi="PT Astra Serif" w:eastAsia="Calibri"/>
        </w:rPr>
        <w:t xml:space="preserve"> </w:t>
      </w:r>
      <w:r>
        <w:rPr>
          <w:rFonts w:ascii="PT Astra Serif" w:hAnsi="PT Astra Serif" w:eastAsia="Calibri"/>
        </w:rPr>
        <w:t xml:space="preserve">обращени</w:t>
      </w:r>
      <w:r>
        <w:rPr>
          <w:rFonts w:ascii="PT Astra Serif" w:hAnsi="PT Astra Serif" w:eastAsia="Calibri"/>
        </w:rPr>
        <w:t xml:space="preserve">й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по финансовым вопросам поступило</w:t>
      </w:r>
      <w:r>
        <w:rPr>
          <w:rFonts w:ascii="PT Astra Serif" w:hAnsi="PT Astra Serif" w:eastAsia="Calibri"/>
        </w:rPr>
        <w:t xml:space="preserve"> от мобилизованных граждан и членов </w:t>
        <w:br/>
        <w:t xml:space="preserve">их семей</w:t>
      </w:r>
      <w:r>
        <w:rPr>
          <w:rFonts w:ascii="PT Astra Serif" w:hAnsi="PT Astra Serif" w:eastAsia="Calibri"/>
        </w:rPr>
        <w:t xml:space="preserve">; 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4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3,4%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иные вопросы.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4"/>
        <w:ind w:left="0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color w:val="000000"/>
        </w:rPr>
      </w:pPr>
      <w:r>
        <w:rPr>
          <w:highlight w:val="none"/>
        </w:rPr>
      </w:r>
      <w:r>
        <w:rPr>
          <w:rFonts w:ascii="PT Astra Serif" w:hAnsi="PT Astra Serif" w:eastAsia="Calibri"/>
          <w:color w:val="000000"/>
        </w:rPr>
      </w:r>
      <w:r>
        <w:rPr>
          <w:rFonts w:ascii="PT Astra Serif" w:hAnsi="PT Astra Serif" w:eastAsia="Calibri"/>
          <w:color w:val="000000"/>
        </w:rPr>
      </w:r>
    </w:p>
    <w:p>
      <w:pPr>
        <w:pStyle w:val="844"/>
        <w:ind w:left="0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highlight w:val="none"/>
        </w:rPr>
      </w:pPr>
      <w:r>
        <w:rPr>
          <w:rFonts w:ascii="PT Astra Serif" w:hAnsi="PT Astra Serif" w:eastAsia="Calibri"/>
          <w:color w:val="000000"/>
        </w:rPr>
      </w:r>
      <w:r>
        <w:drawing>
          <wp:inline distT="0" distB="0" distL="0" distR="0">
            <wp:extent cx="6480175" cy="2354589"/>
            <wp:effectExtent l="4762" t="4762" r="4762" b="4762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highlight w:val="none"/>
        </w:rPr>
      </w:r>
      <w:r>
        <w:rPr>
          <w:highlight w:val="none"/>
        </w:rPr>
      </w:r>
    </w:p>
    <w:p>
      <w:pPr>
        <w:pStyle w:val="840"/>
        <w:ind w:left="0" w:right="0" w:firstLine="0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Информирование жителей Томской области по наиболее актуальным вопросам осуществляется следующим образом: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в рамках региональной программы повышения финансовой грамотности населения</w:t>
      </w:r>
      <w:r>
        <w:rPr>
          <w:rFonts w:ascii="PT Astra Serif" w:hAnsi="PT Astra Serif"/>
          <w:sz w:val="24"/>
          <w:szCs w:val="24"/>
        </w:rPr>
        <w:t xml:space="preserve"> материалы по вопросам, связанным с кредитованием, </w:t>
      </w:r>
      <w:r>
        <w:rPr>
          <w:rFonts w:ascii="PT Astra Serif" w:hAnsi="PT Astra Serif"/>
          <w:sz w:val="24"/>
          <w:szCs w:val="24"/>
        </w:rPr>
        <w:t xml:space="preserve"> регулярно публикуются в журнале 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 xml:space="preserve">«Ваши личные финансы, на </w:t>
      </w:r>
      <w:r>
        <w:rPr>
          <w:rFonts w:ascii="PT Astra Serif" w:hAnsi="PT Astra Serif"/>
          <w:sz w:val="24"/>
          <w:szCs w:val="24"/>
          <w:lang w:eastAsia="ru-RU"/>
        </w:rPr>
        <w:t xml:space="preserve">портале </w:t>
      </w:r>
      <w:r>
        <w:rPr>
          <w:rFonts w:ascii="PT Astra Serif" w:hAnsi="PT Astra Serif"/>
          <w:sz w:val="24"/>
          <w:szCs w:val="24"/>
        </w:rPr>
        <w:t xml:space="preserve">финансовой грамотности населения (</w:t>
      </w:r>
      <w:r>
        <w:rPr>
          <w:rFonts w:ascii="PT Astra Serif" w:hAnsi="PT Astra Serif"/>
          <w:sz w:val="24"/>
          <w:szCs w:val="24"/>
          <w:lang w:val="en-US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HYPERLINK</w:instrText>
      </w:r>
      <w:r>
        <w:rPr>
          <w:rFonts w:ascii="PT Astra Serif" w:hAnsi="PT Astra Serif"/>
          <w:sz w:val="24"/>
          <w:szCs w:val="24"/>
        </w:rPr>
        <w:instrText xml:space="preserve"> "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https</w:instrText>
      </w:r>
      <w:r>
        <w:rPr>
          <w:rFonts w:ascii="PT Astra Serif" w:hAnsi="PT Astra Serif"/>
          <w:sz w:val="24"/>
          <w:szCs w:val="24"/>
        </w:rPr>
        <w:instrText xml:space="preserve">://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vlfin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ru</w:instrText>
      </w:r>
      <w:r>
        <w:rPr>
          <w:rFonts w:ascii="PT Astra Serif" w:hAnsi="PT Astra Serif"/>
          <w:sz w:val="24"/>
          <w:szCs w:val="24"/>
        </w:rPr>
        <w:instrText xml:space="preserve">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  <w:lang w:val="en-US"/>
        </w:rPr>
        <w:fldChar w:fldCharType="separate"/>
      </w:r>
      <w:r>
        <w:rPr>
          <w:rStyle w:val="846"/>
          <w:rFonts w:ascii="PT Astra Serif" w:hAnsi="PT Astra Serif"/>
          <w:sz w:val="24"/>
          <w:szCs w:val="24"/>
          <w:lang w:val="en-US"/>
        </w:rPr>
        <w:t xml:space="preserve">https</w:t>
      </w:r>
      <w:r>
        <w:rPr>
          <w:rStyle w:val="846"/>
          <w:rFonts w:ascii="PT Astra Serif" w:hAnsi="PT Astra Serif"/>
          <w:sz w:val="24"/>
          <w:szCs w:val="24"/>
        </w:rPr>
        <w:t xml:space="preserve">://</w:t>
      </w:r>
      <w:r>
        <w:rPr>
          <w:rStyle w:val="846"/>
          <w:rFonts w:ascii="PT Astra Serif" w:hAnsi="PT Astra Serif"/>
          <w:sz w:val="24"/>
          <w:szCs w:val="24"/>
          <w:lang w:val="en-US"/>
        </w:rPr>
        <w:t xml:space="preserve">vlfin</w:t>
      </w:r>
      <w:r>
        <w:rPr>
          <w:rStyle w:val="846"/>
          <w:rFonts w:ascii="PT Astra Serif" w:hAnsi="PT Astra Serif"/>
          <w:sz w:val="24"/>
          <w:szCs w:val="24"/>
        </w:rPr>
        <w:t xml:space="preserve">.</w:t>
      </w:r>
      <w:r>
        <w:rPr>
          <w:rStyle w:val="846"/>
          <w:rFonts w:ascii="PT Astra Serif" w:hAnsi="PT Astra Serif"/>
          <w:sz w:val="24"/>
          <w:szCs w:val="24"/>
          <w:lang w:val="en-US"/>
        </w:rPr>
        <w:t xml:space="preserve">ru</w:t>
      </w:r>
      <w:r>
        <w:rPr>
          <w:rStyle w:val="846"/>
          <w:rFonts w:ascii="PT Astra Serif" w:hAnsi="PT Astra Serif"/>
          <w:sz w:val="24"/>
          <w:szCs w:val="24"/>
        </w:rPr>
        <w:t xml:space="preserve">/</w:t>
      </w:r>
      <w:r>
        <w:rPr>
          <w:rFonts w:ascii="PT Astra Serif" w:hAnsi="PT Astra Serif"/>
          <w:sz w:val="24"/>
          <w:szCs w:val="24"/>
          <w:lang w:val="en-US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 </w:t>
        <w:br/>
        <w:t xml:space="preserve">и на страницах проекта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в социальных сетях Вконтакте, Одноклассники, Телегармм и Яндекс.Дзен</w:t>
      </w:r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по вопросам, касающихся приобретения, продажи и налогообложения ценных бумаг с</w:t>
      </w:r>
      <w:r>
        <w:rPr>
          <w:rFonts w:ascii="PT Astra Serif" w:hAnsi="PT Astra Serif"/>
          <w:sz w:val="24"/>
          <w:szCs w:val="24"/>
        </w:rPr>
        <w:t xml:space="preserve">ведения</w:t>
      </w:r>
      <w:r>
        <w:rPr>
          <w:rFonts w:ascii="PT Astra Serif" w:hAnsi="PT Astra Serif"/>
          <w:sz w:val="24"/>
          <w:szCs w:val="24"/>
        </w:rPr>
        <w:t xml:space="preserve"> по региональным ценным бумагам </w:t>
      </w:r>
      <w:r>
        <w:rPr>
          <w:rFonts w:ascii="PT Astra Serif" w:hAnsi="PT Astra Serif"/>
          <w:sz w:val="24"/>
          <w:szCs w:val="24"/>
        </w:rPr>
        <w:t xml:space="preserve">размещаю</w:t>
      </w:r>
      <w:r>
        <w:rPr>
          <w:rFonts w:ascii="PT Astra Serif" w:hAnsi="PT Astra Serif"/>
          <w:sz w:val="24"/>
          <w:szCs w:val="24"/>
        </w:rPr>
        <w:t xml:space="preserve">тся на официальном сайте Департамента финансов Томской области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https://depfin.tomsk.gov.ru/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6"/>
          <w:rFonts w:ascii="PT Astra Serif" w:hAnsi="PT Astra Serif"/>
          <w:sz w:val="24"/>
          <w:szCs w:val="24"/>
        </w:rPr>
        <w:t xml:space="preserve">https://depfin.tomsk.gov.ru/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</w:t>
      </w:r>
      <w:r>
        <w:rPr>
          <w:rFonts w:ascii="PT Astra Serif" w:hAnsi="PT Astra Serif"/>
          <w:sz w:val="24"/>
          <w:szCs w:val="24"/>
        </w:rPr>
        <w:t xml:space="preserve"> в разделе «Деятельность», подразделе «Государственный долг</w:t>
      </w:r>
      <w:r>
        <w:rPr>
          <w:rFonts w:ascii="PT Astra Serif" w:hAnsi="PT Astra Serif"/>
          <w:sz w:val="24"/>
          <w:szCs w:val="24"/>
        </w:rPr>
        <w:t xml:space="preserve">», а также на 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сайт</w:t>
      </w:r>
      <w:r>
        <w:rPr>
          <w:rFonts w:ascii="PT Astra Serif" w:hAnsi="PT Astra Serif"/>
          <w:sz w:val="24"/>
          <w:szCs w:val="24"/>
        </w:rPr>
        <w:t xml:space="preserve">е</w:t>
      </w:r>
      <w:r>
        <w:rPr>
          <w:rFonts w:ascii="PT Astra Serif" w:hAnsi="PT Astra Serif"/>
          <w:sz w:val="24"/>
          <w:szCs w:val="24"/>
        </w:rPr>
        <w:t xml:space="preserve"> «Облигации Томской области»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https://bonds.tomsk.ru/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6"/>
          <w:rFonts w:ascii="PT Astra Serif" w:hAnsi="PT Astra Serif"/>
          <w:sz w:val="24"/>
          <w:szCs w:val="24"/>
        </w:rPr>
        <w:t xml:space="preserve">https://bonds.tomsk.ru/</w:t>
      </w:r>
      <w:r>
        <w:rPr>
          <w:rFonts w:ascii="PT Astra Serif" w:hAnsi="PT Astra Serif"/>
          <w:sz w:val="24"/>
          <w:szCs w:val="24"/>
        </w:rPr>
        <w:fldChar w:fldCharType="end"/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https://bonds70.ru/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  <w:fldChar w:fldCharType="end"/>
      </w:r>
      <w:r>
        <w:rPr>
          <w:rFonts w:ascii="PT Astra Serif" w:hAnsi="PT Astra Serif"/>
          <w:sz w:val="24"/>
          <w:szCs w:val="24"/>
        </w:rPr>
        <w:t xml:space="preserve">).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none"/>
          <w:lang w:eastAsia="ru-RU"/>
        </w:rPr>
        <w:t xml:space="preserve"> 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целях оказания бесплатной консультационной помощи жителям региона, попавшим </w:t>
        <w:br/>
        <w:t xml:space="preserve">в сложную финансовую ситуацию, в рамках проекта «Ваши личные финансы»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 базе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Регионального центра финансовой грамотности (РЦФГ)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функционирует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«Ант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икризисный центр».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Обратиться можно любым удобным способом: по адресу г. Томск, ул. Гоголя, д. 15, оф. 401, </w:t>
        <w:br/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по телефону «горячей линии»8-800-201-67-70, через портал финансовой грамотности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hyperlink r:id="rId11" w:tooltip="https://vlfin.ru/feedback." w:history="1">
        <w:r>
          <w:rPr>
            <w:rFonts w:ascii="PT Astra Serif" w:hAnsi="PT Astra Serif"/>
            <w:sz w:val="24"/>
            <w:szCs w:val="24"/>
            <w:highlight w:val="white"/>
            <w:lang w:eastAsia="ru-RU"/>
          </w:rPr>
          <w:t xml:space="preserve">https://vlfin.ru/feedback.</w:t>
        </w:r>
      </w:hyperlink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За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2024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год специал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истами центра было проведено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352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консультаци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  <w:br/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гражданами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 том числе посредством «горячей линии»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Наиболее часто задаваемые вопросы связаны с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высокой кредитной нагрузкой,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банкротство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м физических лиц,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взаимодействие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м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br/>
        <w:t xml:space="preserve">с банковски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ми и страховыми организациями, кредитно-потребительскими кооперативами,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финансов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ым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мошенничество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м, финансовым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планирование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м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.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pStyle w:val="840"/>
        <w:ind w:firstLine="709"/>
        <w:jc w:val="both"/>
        <w:spacing w:after="0"/>
        <w:rPr>
          <w:rFonts w:ascii="PT Astra Serif" w:hAnsi="PT Astra Serif"/>
          <w:color w:val="ff0000"/>
          <w:sz w:val="24"/>
          <w:szCs w:val="26"/>
          <w:highlight w:val="white"/>
        </w:rPr>
      </w:pPr>
      <w:r>
        <w:rPr>
          <w:rFonts w:ascii="PT Astra Serif" w:hAnsi="PT Astra Serif"/>
          <w:color w:val="ff0000"/>
          <w:sz w:val="24"/>
          <w:szCs w:val="26"/>
          <w:highlight w:val="white"/>
          <w:lang w:eastAsia="ru-RU"/>
        </w:rPr>
      </w:r>
      <w:r>
        <w:rPr>
          <w:rFonts w:ascii="PT Astra Serif" w:hAnsi="PT Astra Serif"/>
          <w:color w:val="ff0000"/>
          <w:sz w:val="24"/>
          <w:szCs w:val="26"/>
          <w:highlight w:val="white"/>
        </w:rPr>
      </w:r>
      <w:r>
        <w:rPr>
          <w:rFonts w:ascii="PT Astra Serif" w:hAnsi="PT Astra Serif"/>
          <w:color w:val="ff0000"/>
          <w:sz w:val="24"/>
          <w:szCs w:val="26"/>
          <w:highlight w:val="white"/>
        </w:rPr>
      </w:r>
    </w:p>
    <w:p>
      <w:pPr>
        <w:pStyle w:val="840"/>
        <w:jc w:val="both"/>
        <w:spacing w:after="0" w:line="240" w:lineRule="auto"/>
        <w:rPr>
          <w:rFonts w:ascii="Times New Roman" w:hAnsi="Times New Roman"/>
          <w:color w:val="ff0000"/>
          <w:sz w:val="24"/>
          <w:szCs w:val="28"/>
        </w:rPr>
      </w:pP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</w:p>
    <w:p>
      <w:pPr>
        <w:pStyle w:val="840"/>
        <w:jc w:val="both"/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  <w:t xml:space="preserve">Председатель комитета государственного долга</w:t>
        <w:tab/>
        <w:tab/>
        <w:tab/>
      </w:r>
      <w:r>
        <w:rPr>
          <w:rFonts w:ascii="PT Astra Serif" w:hAnsi="PT Astra Serif"/>
          <w:sz w:val="24"/>
          <w:szCs w:val="26"/>
          <w:lang w:eastAsia="ru-RU"/>
        </w:rPr>
        <w:tab/>
      </w:r>
      <w:r>
        <w:rPr>
          <w:rFonts w:ascii="PT Astra Serif" w:hAnsi="PT Astra Serif"/>
          <w:sz w:val="24"/>
          <w:szCs w:val="26"/>
          <w:lang w:eastAsia="ru-RU"/>
        </w:rPr>
        <w:t xml:space="preserve">        </w:t>
      </w:r>
      <w:r>
        <w:rPr>
          <w:rFonts w:ascii="PT Astra Serif" w:hAnsi="PT Astra Serif"/>
          <w:sz w:val="24"/>
          <w:szCs w:val="26"/>
          <w:lang w:eastAsia="ru-RU"/>
        </w:rPr>
        <w:t xml:space="preserve">               </w:t>
      </w:r>
      <w:r>
        <w:rPr>
          <w:rFonts w:ascii="PT Astra Serif" w:hAnsi="PT Astra Serif"/>
          <w:sz w:val="24"/>
          <w:szCs w:val="26"/>
          <w:lang w:eastAsia="ru-RU"/>
        </w:rPr>
        <w:t xml:space="preserve">О.В. Болтовская</w:t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pStyle w:val="840"/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lang w:eastAsia="ru-RU"/>
        </w:rPr>
        <w:t xml:space="preserve">исп.</w:t>
      </w:r>
      <w:r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 xml:space="preserve">Балкина О.В</w:t>
      </w:r>
      <w:r>
        <w:rPr>
          <w:rFonts w:ascii="PT Astra Serif" w:hAnsi="PT Astra Serif"/>
          <w:lang w:eastAsia="ru-RU"/>
        </w:rPr>
        <w:t xml:space="preserve">.</w:t>
      </w:r>
      <w:r>
        <w:rPr>
          <w:rFonts w:ascii="PT Astra Serif" w:hAnsi="PT Astra Serif"/>
          <w:lang w:eastAsia="ru-RU"/>
        </w:rPr>
        <w:t xml:space="preserve"> , </w:t>
      </w:r>
      <w:r>
        <w:rPr>
          <w:rFonts w:ascii="PT Astra Serif" w:hAnsi="PT Astra Serif"/>
          <w:lang w:eastAsia="ru-RU"/>
        </w:rPr>
        <w:t xml:space="preserve">тел. (3822) 712-3</w:t>
      </w:r>
      <w:r>
        <w:rPr>
          <w:rFonts w:ascii="PT Astra Serif" w:hAnsi="PT Astra Serif"/>
          <w:lang w:eastAsia="ru-RU"/>
        </w:rPr>
        <w:t xml:space="preserve">74</w:t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8" w:hanging="360"/>
        <w:tabs>
          <w:tab w:val="num" w:pos="9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667" w:hanging="360"/>
        <w:tabs>
          <w:tab w:val="num" w:pos="266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387" w:hanging="360"/>
        <w:tabs>
          <w:tab w:val="num" w:pos="3387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107" w:hanging="360"/>
        <w:tabs>
          <w:tab w:val="num" w:pos="4107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27" w:hanging="360"/>
        <w:tabs>
          <w:tab w:val="num" w:pos="482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547" w:hanging="360"/>
        <w:tabs>
          <w:tab w:val="num" w:pos="5547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267" w:hanging="360"/>
        <w:tabs>
          <w:tab w:val="num" w:pos="6267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87" w:hanging="360"/>
        <w:tabs>
          <w:tab w:val="num" w:pos="698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707" w:hanging="360"/>
        <w:tabs>
          <w:tab w:val="num" w:pos="7707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40"/>
    <w:next w:val="840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40"/>
    <w:next w:val="840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40"/>
    <w:next w:val="840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40"/>
    <w:next w:val="840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40"/>
    <w:next w:val="840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40"/>
    <w:next w:val="840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40"/>
    <w:next w:val="840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40"/>
    <w:next w:val="840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List Paragraph"/>
    <w:basedOn w:val="840"/>
    <w:uiPriority w:val="34"/>
    <w:qFormat/>
    <w:pPr>
      <w:contextualSpacing/>
      <w:ind w:left="720"/>
    </w:p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40"/>
    <w:next w:val="840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link w:val="682"/>
    <w:uiPriority w:val="10"/>
    <w:rPr>
      <w:sz w:val="48"/>
      <w:szCs w:val="48"/>
    </w:rPr>
  </w:style>
  <w:style w:type="paragraph" w:styleId="684">
    <w:name w:val="Subtitle"/>
    <w:basedOn w:val="840"/>
    <w:next w:val="840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link w:val="684"/>
    <w:uiPriority w:val="11"/>
    <w:rPr>
      <w:sz w:val="24"/>
      <w:szCs w:val="24"/>
    </w:rPr>
  </w:style>
  <w:style w:type="paragraph" w:styleId="686">
    <w:name w:val="Quote"/>
    <w:basedOn w:val="840"/>
    <w:next w:val="840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40"/>
    <w:next w:val="840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paragraph" w:styleId="690">
    <w:name w:val="Header"/>
    <w:basedOn w:val="840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Header Char"/>
    <w:link w:val="690"/>
    <w:uiPriority w:val="99"/>
  </w:style>
  <w:style w:type="paragraph" w:styleId="692">
    <w:name w:val="Footer"/>
    <w:basedOn w:val="840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Footer Char"/>
    <w:link w:val="692"/>
    <w:uiPriority w:val="99"/>
  </w:style>
  <w:style w:type="paragraph" w:styleId="694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</w:style>
  <w:style w:type="table" w:styleId="69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2">
    <w:name w:val="Hyperlink"/>
    <w:uiPriority w:val="99"/>
    <w:unhideWhenUsed/>
    <w:rPr>
      <w:color w:val="0000ff" w:themeColor="hyperlink"/>
      <w:u w:val="single"/>
    </w:r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next w:val="840"/>
    <w:link w:val="840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41">
    <w:name w:val="Основной шрифт абзаца"/>
    <w:next w:val="841"/>
    <w:link w:val="840"/>
    <w:uiPriority w:val="1"/>
    <w:unhideWhenUsed/>
  </w:style>
  <w:style w:type="table" w:styleId="842">
    <w:name w:val="Обычная таблица"/>
    <w:next w:val="842"/>
    <w:link w:val="840"/>
    <w:uiPriority w:val="99"/>
    <w:semiHidden/>
    <w:unhideWhenUsed/>
    <w:qFormat/>
    <w:tblPr/>
  </w:style>
  <w:style w:type="numbering" w:styleId="843">
    <w:name w:val="Нет списка"/>
    <w:next w:val="843"/>
    <w:link w:val="840"/>
    <w:uiPriority w:val="99"/>
    <w:semiHidden/>
    <w:unhideWhenUsed/>
  </w:style>
  <w:style w:type="paragraph" w:styleId="844">
    <w:name w:val="Обычный (веб)"/>
    <w:basedOn w:val="840"/>
    <w:next w:val="844"/>
    <w:link w:val="84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5">
    <w:name w:val="Строгий"/>
    <w:basedOn w:val="841"/>
    <w:next w:val="845"/>
    <w:link w:val="840"/>
    <w:uiPriority w:val="22"/>
    <w:qFormat/>
    <w:rPr>
      <w:b/>
      <w:bCs/>
    </w:rPr>
  </w:style>
  <w:style w:type="character" w:styleId="846">
    <w:name w:val="Гиперссылка"/>
    <w:basedOn w:val="841"/>
    <w:next w:val="846"/>
    <w:link w:val="840"/>
    <w:uiPriority w:val="99"/>
    <w:rPr>
      <w:rFonts w:cs="Times New Roman"/>
      <w:color w:val="0000ff"/>
      <w:u w:val="single"/>
    </w:rPr>
  </w:style>
  <w:style w:type="character" w:styleId="847">
    <w:name w:val="Знак примечания"/>
    <w:basedOn w:val="841"/>
    <w:next w:val="847"/>
    <w:link w:val="840"/>
    <w:uiPriority w:val="99"/>
    <w:semiHidden/>
    <w:unhideWhenUsed/>
    <w:rPr>
      <w:sz w:val="16"/>
      <w:szCs w:val="16"/>
    </w:rPr>
  </w:style>
  <w:style w:type="paragraph" w:styleId="848">
    <w:name w:val="Текст примечания"/>
    <w:basedOn w:val="840"/>
    <w:next w:val="848"/>
    <w:link w:val="849"/>
    <w:uiPriority w:val="99"/>
    <w:semiHidden/>
    <w:unhideWhenUsed/>
    <w:rPr>
      <w:sz w:val="20"/>
      <w:szCs w:val="20"/>
    </w:rPr>
  </w:style>
  <w:style w:type="character" w:styleId="849">
    <w:name w:val="Текст примечания Знак"/>
    <w:basedOn w:val="841"/>
    <w:next w:val="849"/>
    <w:link w:val="848"/>
    <w:uiPriority w:val="99"/>
    <w:semiHidden/>
    <w:rPr>
      <w:lang w:eastAsia="en-US"/>
    </w:rPr>
  </w:style>
  <w:style w:type="paragraph" w:styleId="850">
    <w:name w:val="Тема примечания"/>
    <w:basedOn w:val="848"/>
    <w:next w:val="848"/>
    <w:link w:val="851"/>
    <w:uiPriority w:val="99"/>
    <w:semiHidden/>
    <w:unhideWhenUsed/>
    <w:rPr>
      <w:b/>
      <w:bCs/>
    </w:rPr>
  </w:style>
  <w:style w:type="character" w:styleId="851">
    <w:name w:val="Тема примечания Знак"/>
    <w:basedOn w:val="849"/>
    <w:next w:val="851"/>
    <w:link w:val="850"/>
    <w:uiPriority w:val="99"/>
    <w:semiHidden/>
    <w:rPr>
      <w:b/>
      <w:bCs/>
    </w:rPr>
  </w:style>
  <w:style w:type="paragraph" w:styleId="852">
    <w:name w:val="Текст выноски"/>
    <w:basedOn w:val="840"/>
    <w:next w:val="852"/>
    <w:link w:val="85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3">
    <w:name w:val="Текст выноски Знак"/>
    <w:basedOn w:val="841"/>
    <w:next w:val="853"/>
    <w:link w:val="852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854" w:default="1">
    <w:name w:val="Default Paragraph Font"/>
    <w:uiPriority w:val="1"/>
    <w:semiHidden/>
    <w:unhideWhenUsed/>
  </w:style>
  <w:style w:type="numbering" w:styleId="855" w:default="1">
    <w:name w:val="No List"/>
    <w:uiPriority w:val="99"/>
    <w:semiHidden/>
    <w:unhideWhenUsed/>
  </w:style>
  <w:style w:type="table" w:styleId="85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hart" Target="charts/chart1.xml" /><Relationship Id="rId10" Type="http://schemas.openxmlformats.org/officeDocument/2006/relationships/chart" Target="charts/chart2.xml" /><Relationship Id="rId11" Type="http://schemas.openxmlformats.org/officeDocument/2006/relationships/hyperlink" Target="https://vlfin.ru/feedback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microsoft.com/office/2011/relationships/chartStyle" Target="style1.xml" /><Relationship Id="rId2" Type="http://schemas.microsoft.com/office/2011/relationships/chartColorStyle" Target="colors1.xml" /><Relationship Id="rId3" Type="http://schemas.openxmlformats.org/officeDocument/2006/relationships/package" Target="../embeddings/Microsoft_Excel_Worksheet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74940"/>
          <c:y val="0.113900"/>
          <c:w val="0.261320"/>
          <c:h val="0.748020"/>
        </c:manualLayout>
      </c:layout>
      <c:pieChart>
        <c:varyColors val="1"/>
        <c:ser>
          <c:idx val="0"/>
          <c:order val="0"/>
          <c:spPr bwMode="auto">
            <a:prstGeom prst="rect">
              <a:avLst/>
            </a:prstGeom>
            <a:gradFill rotWithShape="0">
              <a:gsLst>
                <a:gs pos="0">
                  <a:srgbClr val="2C5D98"/>
                </a:gs>
                <a:gs pos="80000">
                  <a:srgbClr val="3C7BC7"/>
                </a:gs>
                <a:gs pos="100000">
                  <a:srgbClr val="3A7CCB"/>
                </a:gs>
              </a:gsLst>
              <a:lin ang="0" scaled="1"/>
            </a:gradFill>
            <a:ln w="3175">
              <a:noFill/>
            </a:ln>
          </c:spPr>
          <c:explosion val="7"/>
          <c:dPt>
            <c:idx val="0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2C5D98"/>
                  </a:gs>
                  <a:gs pos="80000">
                    <a:srgbClr val="3C7BC7"/>
                  </a:gs>
                  <a:gs pos="100000">
                    <a:srgbClr val="3A7CCB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1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9B2D2A"/>
                  </a:gs>
                  <a:gs pos="80000">
                    <a:srgbClr val="CB3D3A"/>
                  </a:gs>
                  <a:gs pos="100000">
                    <a:srgbClr val="CE3B37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2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769535"/>
                  </a:gs>
                  <a:gs pos="80000">
                    <a:srgbClr val="9BC348"/>
                  </a:gs>
                  <a:gs pos="100000">
                    <a:srgbClr val="9CC74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3"/>
            <c:bubble3D val="0"/>
            <c:spPr bwMode="auto">
              <a:prstGeom prst="rect">
                <a:avLst/>
              </a:prstGeom>
              <a:gradFill rotWithShape="0">
                <a:gsLst>
                  <a:gs pos="0">
                    <a:srgbClr val="5D417E"/>
                  </a:gs>
                  <a:gs pos="80000">
                    <a:srgbClr val="7B58A6"/>
                  </a:gs>
                  <a:gs pos="100000">
                    <a:srgbClr val="7B57A8"/>
                  </a:gs>
                </a:gsLst>
                <a:lin ang="0" scaled="1"/>
              </a:gradFill>
              <a:ln w="6349">
                <a:solidFill>
                  <a:schemeClr val="accent1">
                    <a:lumMod val="50000"/>
                  </a:schemeClr>
                </a:solidFill>
                <a:prstDash val="solid"/>
              </a:ln>
            </c:spPr>
          </c:dPt>
          <c:dPt>
            <c:idx val="4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2787A0"/>
                  </a:gs>
                  <a:gs pos="80000">
                    <a:srgbClr val="36B1D2"/>
                  </a:gs>
                  <a:gs pos="100000">
                    <a:srgbClr val="34B3D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5"/>
            <c:bubble3D val="0"/>
            <c:explosion val="8"/>
          </c:dPt>
          <c:dLbls>
            <c:dLbl>
              <c:idx val="0"/>
              <c:dLblPos val="outEnd"/>
              <c:layout>
                <c:manualLayout>
                  <c:x val="0.008420"/>
                  <c:y val="0.01295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60 обращений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1"/>
              <c:dLblPos val="outEnd"/>
              <c:layout>
                <c:manualLayout>
                  <c:x val="-0.002440"/>
                  <c:y val="0.00704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26 обращений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2"/>
              <c:dLblPos val="outEnd"/>
              <c:layout>
                <c:manualLayout>
                  <c:x val="0.004440"/>
                  <c:y val="0.03208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12 обращений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3"/>
              <c:dLblPos val="outEnd"/>
              <c:layout>
                <c:manualLayout>
                  <c:x val="-0.037770"/>
                  <c:y val="0.01102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352 обращения</a:t>
                    </a:r>
                    <a:endParaRPr sz="900">
                      <a:latin typeface="PT Astra Serif"/>
                      <a:cs typeface="PT Astra Serif"/>
                    </a:endParaRPr>
                  </a:p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4"/>
              <c:dLblPos val="outEnd"/>
              <c:layout>
                <c:manualLayout>
                  <c:x val="0.002140"/>
                  <c:y val="-0.0174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10 обращений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5"/>
              <c:dLblPos val="outEnd"/>
              <c:layout>
                <c:manualLayout>
                  <c:x val="0.096020"/>
                  <c:y val="-0.0134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/>
              <c:tx>
                <c:rich>
                  <a:bodyPr/>
                  <a:lstStyle/>
                  <a:p>
                    <a:pPr>
                      <a:defRPr sz="9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2 обращения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1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>
                    <a:latin typeface="PT Astra Serif"/>
                    <a:ea typeface="PT Astra Serif"/>
                    <a:cs typeface="PT Astra Serif"/>
                  </a:defRPr>
                </a:pPr>
                <a:endParaRPr lang="ru-RU"/>
              </a:p>
            </c:txPr>
          </c:dLbls>
          <c:cat>
            <c:strRef>
              <c:f>Лист1!$W$5:$W$10</c:f>
              <c:strCache>
                <c:ptCount val="6"/>
                <c:pt idx="0">
                  <c:v xml:space="preserve">перенаправлено в рамках Прямой линии с Президентом РФ</c:v>
                </c:pt>
                <c:pt idx="1">
                  <c:v xml:space="preserve">перенаправлено из Администрации Президента РФ</c:v>
                </c:pt>
                <c:pt idx="2">
                  <c:v xml:space="preserve">перенаправлено из Администрации Томской области</c:v>
                </c:pt>
                <c:pt idx="3">
                  <c:v xml:space="preserve">поступило в РЦФГ</c:v>
                </c:pt>
                <c:pt idx="4">
                  <c:v xml:space="preserve">перенаправлено в рамках Прямой линии с Губернатором Томской области</c:v>
                </c:pt>
                <c:pt idx="5">
                  <c:v xml:space="preserve">перенаправлено от Губернатора Томской области</c:v>
                </c:pt>
              </c:strCache>
            </c:strRef>
          </c:cat>
          <c:val>
            <c:numRef>
              <c:f>Лист1!$X$5:$X$10</c:f>
              <c:numCache>
                <c:formatCode>General</c:formatCode>
                <c:ptCount val="6"/>
                <c:pt idx="0">
                  <c:v>60</c:v>
                </c:pt>
                <c:pt idx="1">
                  <c:v>26</c:v>
                </c:pt>
                <c:pt idx="2">
                  <c:v>12</c:v>
                </c:pt>
                <c:pt idx="3">
                  <c:v>352</c:v>
                </c:pt>
                <c:pt idx="4">
                  <c:v>10</c:v>
                </c:pt>
                <c:pt idx="5">
                  <c:v>2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1"/>
          <c:showVal val="1"/>
          <c:txPr>
            <a:bodyPr/>
            <a:p>
              <a:pPr>
                <a:defRPr sz="900">
                  <a:latin typeface="PT Astra Serif"/>
                  <a:ea typeface="PT Astra Serif"/>
                  <a:cs typeface="PT Astra Serif"/>
                </a:defRPr>
              </a:pPr>
              <a:endParaRPr/>
            </a:p>
          </c:txPr>
        </c:dLbls>
        <c:firstSliceAng val="0"/>
      </c:pieChart>
    </c:plotArea>
    <c:legend>
      <c:legendPos val="b"/>
      <c:layout>
        <c:manualLayout>
          <c:xMode val="edge"/>
          <c:yMode val="edge"/>
          <c:x val="0.467910"/>
          <c:y val="0.049910"/>
          <c:w val="0.529140"/>
          <c:h val="0.870920"/>
        </c:manualLayout>
      </c:layout>
      <c:overlay val="0"/>
      <c:spPr bwMode="auto">
        <a:prstGeom prst="rect">
          <a:avLst/>
        </a:prstGeom>
        <a:noFill/>
        <a:ln w="12699">
          <a:noFill/>
          <a:prstDash val="solid"/>
        </a:ln>
      </c:spPr>
      <c:txPr>
        <a:bodyPr rot="0" vert="horz"/>
        <a:lstStyle/>
        <a:p>
          <a:pPr>
            <a:defRPr sz="900" b="0" i="0">
              <a:solidFill>
                <a:srgbClr val="000000"/>
              </a:solidFill>
              <a:latin typeface="PT Astra Serif"/>
              <a:ea typeface="PT Astra Serif"/>
              <a:cs typeface="PT Astra Serif"/>
            </a:defRPr>
          </a:pPr>
          <a:endParaRPr lang="ru-RU"/>
        </a:p>
      </c:txPr>
    </c:legend>
    <c:plotVisOnly val="1"/>
    <c:dispBlanksAs val="zero"/>
    <c:showDLblsOverMax val="0"/>
  </c:chart>
  <c:spPr bwMode="auto">
    <a:xfrm>
      <a:off x="0" y="0"/>
      <a:ext cx="6480174" cy="2263885"/>
    </a:xfrm>
    <a:prstGeom prst="rect">
      <a:avLst/>
    </a:prstGeom>
    <a:noFill/>
    <a:ln w="3175" cap="flat" cmpd="sng" algn="ctr">
      <a:noFill/>
      <a:prstDash val="solid"/>
    </a:ln>
  </c:spPr>
  <c:txPr>
    <a:bodyPr rot="0" vert="horz"/>
    <a:lstStyle/>
    <a:p>
      <a:pPr>
        <a:defRPr sz="900" b="0" i="0">
          <a:solidFill>
            <a:srgbClr val="000000"/>
          </a:solidFill>
          <a:latin typeface="PT Astra Serif"/>
          <a:ea typeface="PT Astra Serif"/>
          <a:cs typeface="PT Astra Serif"/>
        </a:defRPr>
      </a:pPr>
      <a:endParaRPr lang="ru-RU"/>
    </a:p>
  </c:txPr>
  <c:externalData r:id="rId1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0800"/>
          <c:y val="0.077620"/>
          <c:w val="0.272850"/>
          <c:h val="0.740280"/>
        </c:manualLayout>
      </c:layout>
      <c:pieChart>
        <c:varyColors val="1"/>
        <c:ser>
          <c:idx val="0"/>
          <c:order val="0"/>
          <c:dPt>
            <c:idx val="0"/>
            <c:spPr bwMode="auto">
              <a:prstGeom prst="rect">
                <a:avLst/>
              </a:prstGeom>
              <a:gradFill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1"/>
            <c:spPr bwMode="auto">
              <a:prstGeom prst="rect">
                <a:avLst/>
              </a:prstGeom>
              <a:gradFill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2"/>
            <c:spPr bwMode="auto">
              <a:prstGeom prst="rect">
                <a:avLst/>
              </a:prstGeom>
              <a:gradFill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3"/>
            <c:spPr bwMode="auto">
              <a:prstGeom prst="rect">
                <a:avLst/>
              </a:prstGeom>
              <a:gradFill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4"/>
            <c:spPr bwMode="auto">
              <a:prstGeom prst="rect">
                <a:avLst/>
              </a:prstGeom>
              <a:gradFill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Lbls>
            <c:dLbl>
              <c:idx val="0"/>
              <c:dLblPos val="outEnd"/>
              <c:layout>
                <c:manualLayout>
                  <c:x val="0.005070"/>
                  <c:y val="0.00425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900">
                      <a:solidFill>
                        <a:schemeClr val="tx1"/>
                      </a:solidFill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</c:dLbl>
            <c:dLbl>
              <c:idx val="1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900">
                      <a:solidFill>
                        <a:schemeClr val="tx1"/>
                      </a:solidFill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</c:dLbl>
            <c:dLbl>
              <c:idx val="2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900">
                      <a:solidFill>
                        <a:schemeClr val="tx1"/>
                      </a:solidFill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</c:dLbl>
            <c:dLbl>
              <c:idx val="3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900">
                      <a:solidFill>
                        <a:schemeClr val="tx1"/>
                      </a:solidFill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</c:dLbl>
            <c:dLbl>
              <c:idx val="4"/>
              <c:dLblPos val="outEnd"/>
              <c:layout>
                <c:manualLayout>
                  <c:x val="0.032330"/>
                  <c:y val="-0.01618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900">
                      <a:solidFill>
                        <a:schemeClr val="tx1"/>
                      </a:solidFill>
                      <a:latin typeface="PT Astra Serif"/>
                      <a:ea typeface="PT Astra Serif"/>
                      <a:cs typeface="PT Astra Serif"/>
                    </a:defRPr>
                  </a:pPr>
                  <a:endParaRPr/>
                </a:p>
              </c:txPr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</c:spPr>
            <c:txPr>
              <a:bodyPr/>
              <a:p>
                <a:pPr>
                  <a:defRPr sz="900">
                    <a:solidFill>
                      <a:schemeClr val="tx1"/>
                    </a:solidFill>
                    <a:latin typeface="PT Astra Serif"/>
                    <a:ea typeface="PT Astra Serif"/>
                    <a:cs typeface="PT Astra Serif"/>
                  </a:defRPr>
                </a:pPr>
                <a:endParaRPr/>
              </a:p>
            </c:txPr>
          </c:dLbls>
          <c:cat>
            <c:strRef>
              <c:f>'Лист1'!$L$5:$L$9</c:f>
              <c:strCache>
                <c:ptCount val="5"/>
                <c:pt idx="0">
                  <c:v xml:space="preserve">вопросы, относящиеся  к сфере кредитования: оформление и погашение кредитов, высокая кредитная нагрузка, проблемная задолженность по кредитам, а также  условия ипотечных программ</c:v>
                </c:pt>
                <c:pt idx="1">
                  <c:v xml:space="preserve">иные финансовые вопросы (страхование, банковские вклады, инвестиции и др.)</c:v>
                </c:pt>
                <c:pt idx="2">
                  <c:v xml:space="preserve">вопросы, касающиеся работы кредитно-потребительских кооперативов</c:v>
                </c:pt>
                <c:pt idx="3">
                  <c:v xml:space="preserve">обращения по финансовым вопросам от мобилизованных граждан и членов их семей</c:v>
                </c:pt>
                <c:pt idx="4">
                  <c:v xml:space="preserve">иные вопросы</c:v>
                </c:pt>
              </c:strCache>
            </c:strRef>
          </c:cat>
          <c:val>
            <c:numRef>
              <c:f>'Лист1'!$M$5:$M$9</c:f>
              <c:numCache>
                <c:formatCode>0.0%</c:formatCode>
                <c:ptCount val="5"/>
                <c:pt idx="0">
                  <c:v>0.4957983193277311</c:v>
                </c:pt>
                <c:pt idx="1">
                  <c:v>0.2184873949579832</c:v>
                </c:pt>
                <c:pt idx="2">
                  <c:v>0.16806722689075632</c:v>
                </c:pt>
                <c:pt idx="3">
                  <c:v>0.08403361344537816</c:v>
                </c:pt>
                <c:pt idx="4">
                  <c:v>0.03361344537815126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0"/>
          <c:showVal val="1"/>
          <c:spPr bwMode="auto">
            <a:prstGeom prst="rect">
              <a:avLst/>
            </a:prstGeom>
            <a:noFill/>
            <a:ln>
              <a:noFill/>
            </a:ln>
          </c:spPr>
          <c:txPr>
            <a:bodyPr/>
            <a:p>
              <a:pPr>
                <a:defRPr sz="80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/>
            </a:p>
          </c:txPr>
        </c:dLbls>
        <c:firstSliceAng val="0"/>
      </c:pieChart>
      <c:spPr bwMode="auto">
        <a:prstGeom prst="rect">
          <a:avLst/>
        </a:prstGeom>
        <a:noFill/>
        <a:ln>
          <a:noFill/>
        </a:ln>
      </c:spPr>
    </c:plotArea>
    <c:legend>
      <c:legendPos val="b"/>
      <c:layout>
        <c:manualLayout>
          <c:xMode val="edge"/>
          <c:yMode val="edge"/>
          <c:x val="0.416620"/>
          <c:y val="0.065480"/>
          <c:w val="0.574560"/>
          <c:h val="0.829280"/>
        </c:manualLayout>
      </c:layout>
      <c:overlay val="0"/>
      <c:spPr bwMode="auto">
        <a:prstGeom prst="rect">
          <a:avLst/>
        </a:prstGeom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>
              <a:solidFill>
                <a:schemeClr val="tx1"/>
              </a:solidFill>
              <a:latin typeface="PT Astra Serif"/>
              <a:ea typeface="PT Astra Serif"/>
              <a:cs typeface="PT Astra Serif"/>
            </a:defRPr>
          </a:pPr>
          <a:endParaRPr lang="en-US"/>
        </a:p>
      </c:txPr>
    </c:legend>
    <c:plotVisOnly val="1"/>
    <c:dispBlanksAs val="zero"/>
    <c:showDLblsOverMax val="0"/>
  </c:chart>
  <c:spPr bwMode="auto">
    <a:xfrm>
      <a:off x="0" y="0"/>
      <a:ext cx="6480174" cy="2354589"/>
    </a:xfrm>
    <a:prstGeom prst="rect">
      <a:avLst/>
    </a:prstGeom>
    <a:solidFill>
      <a:schemeClr val="bg1"/>
    </a:solidFill>
    <a:ln w="9525" cap="flat" cmpd="sng" algn="ctr">
      <a:solidFill>
        <a:schemeClr val="bg1"/>
      </a:solidFill>
      <a:prstDash val="solid"/>
      <a:round/>
    </a:ln>
  </c:spPr>
  <c:txPr>
    <a:bodyPr rot="0" vert="horz"/>
    <a:lstStyle/>
    <a:p>
      <a:pPr>
        <a:defRPr sz="800">
          <a:solidFill>
            <a:schemeClr val="tx2"/>
          </a:solidFill>
          <a:latin typeface="+mn-lt"/>
          <a:ea typeface="+mn-ea"/>
          <a:cs typeface="+mn-cs"/>
        </a:defRPr>
      </a:pPr>
      <a:endParaRPr lang="ru-RU"/>
    </a:p>
  </c:txPr>
  <c:externalData r:id="rId3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/>
  </cs:axisTitle>
  <cs:category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tx2"/>
    </cs:fontRef>
    <cs:defRPr sz="900"/>
  </cs:dataLabel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 bwMode="auto">
      <a:prstGeom prst="rect">
        <a:avLst/>
      </a:prstGeom>
      <a:ln w="12700">
        <a:solidFill>
          <a:schemeClr val="lt2"/>
        </a:solidFill>
        <a:round/>
      </a:ln>
    </cs:spPr>
  </cs:dataPointMarker>
  <cs:dataPointWirefram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 bwMode="auto">
      <a:prstGeom prst="rect">
        <a:avLst/>
      </a:prstGeom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 bwMode="auto">
      <a:prstGeom prst="rect">
        <a:avLst/>
      </a:prstGeom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/>
  </cs:title>
  <cs:trendline>
    <cs:lnRef idx="0">
      <cs:styleClr val="auto"/>
    </cs:lnRef>
    <cs:fillRef idx="0"/>
    <cs:effectRef idx="0"/>
    <cs:fontRef idx="minor">
      <a:schemeClr val="tx2"/>
    </cs:fontRef>
    <cs:spPr bwMode="auto">
      <a:prstGeom prst="rect">
        <a:avLst/>
      </a:prstGeom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/>
  </cs:trendlineLabel>
  <cs:upBar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/>
  </cs:valueAxis>
  <cs:wall>
    <cs:lnRef idx="0"/>
    <cs:fillRef idx="0"/>
    <cs:effectRef idx="0"/>
    <cs:fontRef idx="minor">
      <a:schemeClr val="tx2"/>
    </cs:fontRef>
  </cs:wall>
  <cs:dataPointMarkerLayout symbol="circle" size="6"/>
</cs:chartStyl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fys</dc:creator>
  <cp:revision>52</cp:revision>
  <dcterms:created xsi:type="dcterms:W3CDTF">2022-10-17T11:01:00Z</dcterms:created>
  <dcterms:modified xsi:type="dcterms:W3CDTF">2025-02-17T06:56:32Z</dcterms:modified>
  <cp:version>786432</cp:version>
</cp:coreProperties>
</file>