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0206"/>
      </w:tblGrid>
      <w:tr>
        <w:trPr>
          <w:cantSplit/>
          <w:trHeight w:val="70"/>
        </w:trPr>
        <w:tc>
          <w:tcPr>
            <w:tcW w:w="10206" w:type="dxa"/>
            <w:textDirection w:val="lrTb"/>
            <w:noWrap w:val="false"/>
          </w:tcPr>
          <w:p>
            <w:pPr>
              <w:ind w:right="284"/>
              <w:jc w:val="center"/>
              <w:tabs>
                <w:tab w:val="left" w:pos="3969" w:leader="none"/>
                <w:tab w:val="left" w:pos="5670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2778346</wp:posOffset>
                      </wp:positionH>
                      <wp:positionV relativeFrom="page">
                        <wp:posOffset>-235696</wp:posOffset>
                      </wp:positionV>
                      <wp:extent cx="712470" cy="683812"/>
                      <wp:effectExtent l="19050" t="0" r="0" b="0"/>
                      <wp:wrapNone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12470" cy="6838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position:absolute;z-index:251658240;o:allowoverlap:true;o:allowincell:true;mso-position-horizontal-relative:text;margin-left:218.77pt;mso-position-horizontal:absolute;mso-position-vertical-relative:page;margin-top:-18.56pt;mso-position-vertical:absolute;width:56.10pt;height:53.84pt;mso-wrap-distance-left:9.00pt;mso-wrap-distance-top:0.00pt;mso-wrap-distance-right:9.00pt;mso-wrap-distance-bottom:0.00pt;" stroked="f" strokeweight="0.75pt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  <w:outlineLvl w:val="0"/>
            </w:pPr>
            <w:r>
              <w:rPr>
                <w:rFonts w:ascii="PT Astra Serif" w:hAnsi="PT Astra Serif"/>
                <w:b/>
                <w:sz w:val="30"/>
                <w:szCs w:val="30"/>
              </w:rPr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  <w:outlineLvl w:val="0"/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jc w:val="center"/>
              <w:keepNext/>
              <w:rPr>
                <w:rFonts w:ascii="PT Astra Serif" w:hAnsi="PT Astra Serif"/>
                <w:b/>
                <w:bCs/>
                <w:sz w:val="28"/>
                <w:szCs w:val="28"/>
              </w:rPr>
              <w:outlineLvl w:val="7"/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ПРИКАЗ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345"/>
              <w:gridCol w:w="3611"/>
            </w:tblGrid>
            <w:tr>
              <w:trPr/>
              <w:tc>
                <w:tcPr>
                  <w:tcW w:w="6345" w:type="dxa"/>
                  <w:textDirection w:val="lrTb"/>
                  <w:noWrap w:val="false"/>
                </w:tcPr>
                <w:p>
                  <w:pPr>
                    <w:jc w:val="both"/>
                    <w:keepNext/>
                    <w:rPr>
                      <w:rFonts w:ascii="PT Astra Serif" w:hAnsi="PT Astra Serif"/>
                      <w:sz w:val="26"/>
                      <w:szCs w:val="26"/>
                    </w:rPr>
                    <w:outlineLvl w:val="0"/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13.01.2025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  <w:tc>
                <w:tcPr>
                  <w:tcW w:w="3611" w:type="dxa"/>
                  <w:textDirection w:val="lrTb"/>
                  <w:noWrap w:val="false"/>
                </w:tcPr>
                <w:p>
                  <w:pPr>
                    <w:tabs>
                      <w:tab w:val="center" w:pos="2355" w:leader="none"/>
                      <w:tab w:val="left" w:pos="3140" w:leader="none"/>
                    </w:tabs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  № 2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ind w:right="566"/>
              <w:rPr>
                <w:rFonts w:ascii="PT Astra Serif" w:hAnsi="PT Astra Serif"/>
                <w:sz w:val="26"/>
              </w:rPr>
            </w:pPr>
            <w:r>
              <w:rPr>
                <w:rFonts w:ascii="PT Astra Serif" w:hAnsi="PT Astra Serif"/>
                <w:sz w:val="26"/>
              </w:rPr>
            </w:r>
            <w:r>
              <w:rPr>
                <w:rFonts w:ascii="PT Astra Serif" w:hAnsi="PT Astra Serif"/>
                <w:sz w:val="26"/>
              </w:rPr>
            </w:r>
            <w:r>
              <w:rPr>
                <w:rFonts w:ascii="PT Astra Serif" w:hAnsi="PT Astra Serif"/>
                <w:sz w:val="26"/>
              </w:rPr>
            </w:r>
          </w:p>
        </w:tc>
      </w:tr>
    </w:tbl>
    <w:p>
      <w:pPr>
        <w:pStyle w:val="970"/>
        <w:ind w:left="709" w:right="708"/>
        <w:jc w:val="center"/>
        <w:rPr>
          <w:rFonts w:ascii="PT Astra Serif" w:hAnsi="PT Astra Serif" w:cs="Times New Roman"/>
          <w:bCs/>
          <w:sz w:val="26"/>
          <w:szCs w:val="26"/>
        </w:rPr>
        <w:outlineLvl w:val="0"/>
      </w:pPr>
      <w:r>
        <w:rPr>
          <w:rFonts w:ascii="PT Astra Serif" w:hAnsi="PT Astra Serif" w:cs="Times New Roman"/>
          <w:bCs/>
          <w:sz w:val="26"/>
          <w:szCs w:val="26"/>
        </w:rPr>
      </w:r>
      <w:r>
        <w:rPr>
          <w:rFonts w:ascii="PT Astra Serif" w:hAnsi="PT Astra Serif" w:cs="Times New Roman"/>
          <w:bCs/>
          <w:sz w:val="26"/>
          <w:szCs w:val="26"/>
        </w:rPr>
      </w:r>
      <w:r>
        <w:rPr>
          <w:rFonts w:ascii="PT Astra Serif" w:hAnsi="PT Astra Serif" w:cs="Times New Roman"/>
          <w:bCs/>
          <w:sz w:val="26"/>
          <w:szCs w:val="26"/>
        </w:rPr>
      </w:r>
    </w:p>
    <w:p>
      <w:pPr>
        <w:pStyle w:val="970"/>
        <w:ind w:right="57"/>
        <w:jc w:val="center"/>
        <w:rPr>
          <w:rFonts w:ascii="PT Astra Serif" w:hAnsi="PT Astra Serif" w:cs="Times New Roman"/>
          <w:bCs/>
          <w:sz w:val="26"/>
          <w:szCs w:val="26"/>
        </w:rPr>
        <w:outlineLvl w:val="0"/>
      </w:pPr>
      <w:r>
        <w:rPr>
          <w:rFonts w:ascii="PT Astra Serif" w:hAnsi="PT Astra Serif" w:cs="Times New Roman"/>
          <w:bCs/>
          <w:sz w:val="26"/>
          <w:szCs w:val="26"/>
        </w:rPr>
        <w:t xml:space="preserve">О внесении изменени</w:t>
      </w:r>
      <w:r>
        <w:rPr>
          <w:rFonts w:ascii="PT Astra Serif" w:hAnsi="PT Astra Serif" w:cs="Times New Roman"/>
          <w:bCs/>
          <w:sz w:val="26"/>
          <w:szCs w:val="26"/>
        </w:rPr>
        <w:t xml:space="preserve">й</w:t>
      </w:r>
      <w:r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</w:t>
      </w:r>
      <w:r>
        <w:rPr>
          <w:rFonts w:ascii="PT Astra Serif" w:hAnsi="PT Astra Serif" w:cs="Times New Roman"/>
          <w:bCs/>
          <w:sz w:val="26"/>
          <w:szCs w:val="26"/>
        </w:rPr>
      </w:r>
      <w:r>
        <w:rPr>
          <w:rFonts w:ascii="PT Astra Serif" w:hAnsi="PT Astra Serif" w:cs="Times New Roman"/>
          <w:bCs/>
          <w:sz w:val="26"/>
          <w:szCs w:val="26"/>
        </w:rPr>
      </w:r>
    </w:p>
    <w:p>
      <w:pPr>
        <w:pStyle w:val="970"/>
        <w:ind w:right="57"/>
        <w:jc w:val="center"/>
        <w:rPr>
          <w:rFonts w:ascii="PT Astra Serif" w:hAnsi="PT Astra Serif" w:cs="Times New Roman"/>
          <w:bCs/>
          <w:sz w:val="26"/>
          <w:szCs w:val="26"/>
        </w:rPr>
        <w:outlineLvl w:val="0"/>
      </w:pPr>
      <w:r>
        <w:rPr>
          <w:rFonts w:ascii="PT Astra Serif" w:hAnsi="PT Astra Serif" w:cs="Times New Roman"/>
          <w:bCs/>
          <w:sz w:val="26"/>
          <w:szCs w:val="26"/>
        </w:rPr>
        <w:t xml:space="preserve">Томской области от 2</w:t>
      </w:r>
      <w:r>
        <w:rPr>
          <w:rFonts w:ascii="PT Astra Serif" w:hAnsi="PT Astra Serif" w:cs="Times New Roman"/>
          <w:bCs/>
          <w:sz w:val="26"/>
          <w:szCs w:val="26"/>
        </w:rPr>
        <w:t xml:space="preserve">1</w:t>
      </w:r>
      <w:r>
        <w:rPr>
          <w:rFonts w:ascii="PT Astra Serif" w:hAnsi="PT Astra Serif" w:cs="Times New Roman"/>
          <w:bCs/>
          <w:sz w:val="26"/>
          <w:szCs w:val="26"/>
        </w:rPr>
        <w:t xml:space="preserve">.02.20</w:t>
      </w:r>
      <w:r>
        <w:rPr>
          <w:rFonts w:ascii="PT Astra Serif" w:hAnsi="PT Astra Serif" w:cs="Times New Roman"/>
          <w:bCs/>
          <w:sz w:val="26"/>
          <w:szCs w:val="26"/>
        </w:rPr>
        <w:t xml:space="preserve">20</w:t>
      </w:r>
      <w:r>
        <w:rPr>
          <w:rFonts w:ascii="PT Astra Serif" w:hAnsi="PT Astra Serif" w:cs="Times New Roman"/>
          <w:bCs/>
          <w:sz w:val="26"/>
          <w:szCs w:val="26"/>
        </w:rPr>
        <w:t xml:space="preserve"> № </w:t>
      </w:r>
      <w:r>
        <w:rPr>
          <w:rFonts w:ascii="PT Astra Serif" w:hAnsi="PT Astra Serif" w:cs="Times New Roman"/>
          <w:bCs/>
          <w:sz w:val="26"/>
          <w:szCs w:val="26"/>
        </w:rPr>
        <w:t xml:space="preserve">12</w:t>
      </w:r>
      <w:r>
        <w:rPr>
          <w:rFonts w:ascii="PT Astra Serif" w:hAnsi="PT Astra Serif" w:cs="Times New Roman"/>
          <w:bCs/>
          <w:sz w:val="26"/>
          <w:szCs w:val="26"/>
        </w:rPr>
      </w:r>
      <w:r>
        <w:rPr>
          <w:rFonts w:ascii="PT Astra Serif" w:hAnsi="PT Astra Serif" w:cs="Times New Roman"/>
          <w:bCs/>
          <w:sz w:val="26"/>
          <w:szCs w:val="26"/>
        </w:rPr>
      </w:r>
    </w:p>
    <w:p>
      <w:pPr>
        <w:pStyle w:val="970"/>
        <w:ind w:right="57" w:firstLine="709"/>
        <w:jc w:val="center"/>
        <w:rPr>
          <w:rFonts w:ascii="PT Astra Serif" w:hAnsi="PT Astra Serif" w:cs="Times New Roman"/>
          <w:bCs/>
          <w:sz w:val="25"/>
          <w:szCs w:val="25"/>
        </w:rPr>
        <w:outlineLvl w:val="0"/>
      </w:pPr>
      <w:r>
        <w:rPr>
          <w:rFonts w:ascii="PT Astra Serif" w:hAnsi="PT Astra Serif" w:cs="Times New Roman"/>
          <w:bCs/>
          <w:sz w:val="25"/>
          <w:szCs w:val="25"/>
        </w:rPr>
      </w:r>
      <w:r>
        <w:rPr>
          <w:rFonts w:ascii="PT Astra Serif" w:hAnsi="PT Astra Serif" w:cs="Times New Roman"/>
          <w:bCs/>
          <w:sz w:val="25"/>
          <w:szCs w:val="25"/>
        </w:rPr>
      </w:r>
      <w:r>
        <w:rPr>
          <w:rFonts w:ascii="PT Astra Serif" w:hAnsi="PT Astra Serif" w:cs="Times New Roman"/>
          <w:bCs/>
          <w:sz w:val="25"/>
          <w:szCs w:val="25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Внести в </w:t>
      </w:r>
      <w:hyperlink r:id="rId16" w:tooltip="consultantplus://offline/ref=3883B2D62FB62D3063BCF09EE6EC20C2F12AA6BFA1F54E9A65B74D68F5D629FCW7w1F" w:history="1">
        <w:r>
          <w:rPr>
            <w:rFonts w:ascii="PT Astra Serif" w:hAnsi="PT Astra Serif"/>
            <w:sz w:val="26"/>
            <w:szCs w:val="26"/>
          </w:rPr>
          <w:t xml:space="preserve">приказ</w:t>
        </w:r>
      </w:hyperlink>
      <w:r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21.02.2020 № 12 «Об установлении Порядка проведения Департаментом финансов Томской области мониторинга качества финансового менеджмента» 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25.02.2020</w:t>
      </w:r>
      <w:r>
        <w:rPr>
          <w:rFonts w:ascii="PT Astra Serif" w:hAnsi="PT Astra Serif" w:cs="PT Astra Serif"/>
          <w:sz w:val="26"/>
          <w:szCs w:val="26"/>
        </w:rPr>
        <w:t xml:space="preserve">, № 7001202002250002</w:t>
      </w:r>
      <w:r>
        <w:rPr>
          <w:rFonts w:ascii="PT Astra Serif" w:hAnsi="PT Astra Serif"/>
          <w:sz w:val="26"/>
          <w:szCs w:val="26"/>
        </w:rPr>
        <w:t xml:space="preserve">) следующие изменения: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Порядке</w:t>
      </w:r>
      <w:r>
        <w:rPr>
          <w:rFonts w:ascii="PT Astra Serif" w:hAnsi="PT Astra Serif"/>
          <w:sz w:val="26"/>
          <w:szCs w:val="26"/>
        </w:rPr>
        <w:t xml:space="preserve"> проведения Департаментом финансов Томской области мониторинга качества финансового менеджмента, установленном указанным приказом: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пункте</w:t>
      </w:r>
      <w:r>
        <w:rPr>
          <w:rFonts w:ascii="PT Astra Serif" w:hAnsi="PT Astra Serif"/>
          <w:sz w:val="26"/>
          <w:szCs w:val="26"/>
        </w:rPr>
        <w:t xml:space="preserve"> 7: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абзац седьмой изложить </w:t>
      </w:r>
      <w:r>
        <w:rPr>
          <w:rFonts w:ascii="PT Astra Serif" w:hAnsi="PT Astra Serif" w:cs="Arial"/>
          <w:sz w:val="26"/>
          <w:szCs w:val="26"/>
        </w:rPr>
        <w:t xml:space="preserve">в следующей редакции: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«по показателю, указанному в </w:t>
      </w:r>
      <w:hyperlink r:id="rId17" w:tooltip="https://login.consultant.ru/link/?req=doc&amp;base=RLAW091&amp;n=182108&amp;dst=100283" w:history="1">
        <w:r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/>
      <w:hyperlink r:id="rId18" w:tooltip="https://login.consultant.ru/link/?req=doc&amp;base=RLAW091&amp;n=182108&amp;dst=100284" w:history="1">
        <w:r>
          <w:rPr>
            <w:rFonts w:ascii="PT Astra Serif" w:hAnsi="PT Astra Serif" w:cs="Arial"/>
            <w:sz w:val="26"/>
            <w:szCs w:val="26"/>
          </w:rPr>
          <w:t xml:space="preserve">1.1.5</w:t>
        </w:r>
      </w:hyperlink>
      <w:r>
        <w:rPr>
          <w:rFonts w:ascii="PT Astra Serif" w:hAnsi="PT Astra Serif" w:cs="Arial"/>
          <w:sz w:val="26"/>
          <w:szCs w:val="26"/>
        </w:rPr>
        <w:t xml:space="preserve"> приложения </w:t>
      </w:r>
      <w:r>
        <w:rPr>
          <w:rFonts w:ascii="PT Astra Serif" w:hAnsi="PT Astra Serif" w:cs="Arial"/>
          <w:sz w:val="26"/>
          <w:szCs w:val="26"/>
        </w:rPr>
        <w:t xml:space="preserve">№</w:t>
      </w:r>
      <w:r>
        <w:rPr>
          <w:rFonts w:ascii="PT Astra Serif" w:hAnsi="PT Astra Serif" w:cs="Arial"/>
          <w:sz w:val="26"/>
          <w:szCs w:val="26"/>
        </w:rPr>
        <w:t xml:space="preserve"> 1 к настоя</w:t>
      </w:r>
      <w:r>
        <w:rPr>
          <w:rFonts w:ascii="PT Astra Serif" w:hAnsi="PT Astra Serif" w:cs="Arial"/>
          <w:sz w:val="26"/>
          <w:szCs w:val="26"/>
        </w:rPr>
        <w:t xml:space="preserve">щему Порядку, в случае, если законом Томской области об областном бюджете в отчетном финансовом году главному администратору бюджетных средств предусмотрены бюджетные ассигнования исключительно на реализацию комплекса процессных мероприятий по обеспечению </w:t>
      </w:r>
      <w:r>
        <w:rPr>
          <w:rFonts w:ascii="PT Astra Serif" w:hAnsi="PT Astra Serif" w:cs="Arial"/>
          <w:sz w:val="26"/>
          <w:szCs w:val="26"/>
        </w:rPr>
        <w:t xml:space="preserve">реализации государственных функций и полномочий исполнительных органов Томской области</w:t>
      </w:r>
      <w:r>
        <w:rPr>
          <w:rFonts w:ascii="PT Astra Serif" w:hAnsi="PT Astra Serif" w:cs="Arial"/>
          <w:sz w:val="26"/>
          <w:szCs w:val="26"/>
        </w:rPr>
        <w:t xml:space="preserve">»</w:t>
      </w:r>
      <w:r>
        <w:rPr>
          <w:rFonts w:ascii="PT Astra Serif" w:hAnsi="PT Astra Serif" w:cs="Arial"/>
          <w:sz w:val="26"/>
          <w:szCs w:val="26"/>
        </w:rPr>
        <w:t xml:space="preserve">;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в</w:t>
      </w:r>
      <w:r>
        <w:rPr>
          <w:rFonts w:ascii="PT Astra Serif" w:hAnsi="PT Astra Serif" w:cs="Arial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</w:rPr>
        <w:t xml:space="preserve">абзаце</w:t>
      </w:r>
      <w:r>
        <w:rPr>
          <w:rFonts w:ascii="PT Astra Serif" w:hAnsi="PT Astra Serif" w:cs="Arial"/>
          <w:sz w:val="26"/>
          <w:szCs w:val="26"/>
        </w:rPr>
        <w:t xml:space="preserve"> восьмом слова «в </w:t>
      </w:r>
      <w:hyperlink r:id="rId19" w:tooltip="https://login.consultant.ru/link/?req=doc&amp;base=RLAW091&amp;n=182108&amp;dst=100293" w:history="1">
        <w:r>
          <w:rPr>
            <w:rFonts w:ascii="PT Astra Serif" w:hAnsi="PT Astra Serif" w:cs="Arial"/>
            <w:sz w:val="26"/>
            <w:szCs w:val="26"/>
          </w:rPr>
          <w:t xml:space="preserve">пункте 1.2.8</w:t>
        </w:r>
      </w:hyperlink>
      <w:r>
        <w:rPr>
          <w:rFonts w:ascii="PT Astra Serif" w:hAnsi="PT Astra Serif" w:cs="Arial"/>
          <w:sz w:val="26"/>
          <w:szCs w:val="26"/>
        </w:rPr>
        <w:t xml:space="preserve">»</w:t>
      </w:r>
      <w:r>
        <w:rPr>
          <w:rFonts w:ascii="PT Astra Serif" w:hAnsi="PT Astra Serif" w:cs="Arial"/>
          <w:sz w:val="26"/>
          <w:szCs w:val="26"/>
        </w:rPr>
        <w:t xml:space="preserve"> заменить словами «в пункте 1.2.7»;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в </w:t>
      </w:r>
      <w:r>
        <w:rPr>
          <w:rFonts w:ascii="PT Astra Serif" w:hAnsi="PT Astra Serif" w:cs="Arial"/>
          <w:sz w:val="26"/>
          <w:szCs w:val="26"/>
        </w:rPr>
        <w:t xml:space="preserve">абзаце</w:t>
      </w:r>
      <w:r>
        <w:rPr>
          <w:rFonts w:ascii="PT Astra Serif" w:hAnsi="PT Astra Serif" w:cs="Arial"/>
          <w:sz w:val="26"/>
          <w:szCs w:val="26"/>
        </w:rPr>
        <w:t xml:space="preserve"> девятом слова «в пунктах 1.2.9, 1.2.10» заменить словами «в пунктах 1.2.8, 1.2.9»;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</w:r>
      <w:r/>
      <w:r>
        <w:rPr>
          <w:rFonts w:ascii="PT Astra Serif" w:hAnsi="PT Astra Serif" w:cs="Arial"/>
          <w:sz w:val="26"/>
          <w:szCs w:val="26"/>
        </w:rPr>
        <w:t xml:space="preserve">б) </w:t>
      </w:r>
      <w:hyperlink r:id="rId20" w:tooltip="https://login.consultant.ru/link/?req=doc&amp;base=RLAW091&amp;n=145243&amp;dst=100167" w:history="1">
        <w:r>
          <w:rPr>
            <w:rFonts w:ascii="PT Astra Serif" w:hAnsi="PT Astra Serif" w:cs="Arial"/>
            <w:sz w:val="26"/>
            <w:szCs w:val="26"/>
          </w:rPr>
          <w:t xml:space="preserve">приложение № 1</w:t>
        </w:r>
      </w:hyperlink>
      <w:r>
        <w:rPr>
          <w:rFonts w:ascii="PT Astra Serif" w:hAnsi="PT Astra Serif" w:cs="Arial"/>
          <w:sz w:val="26"/>
          <w:szCs w:val="26"/>
        </w:rPr>
        <w:t xml:space="preserve"> «Показатели для оценки качества финансового менеджмента главных администраторов средств областного бюджета» изложить в новой редакции согласно </w:t>
      </w:r>
      <w:hyperlink r:id="rId21" w:tooltip="https://login.consultant.ru/link/?req=doc&amp;base=RLAW091&amp;n=159359&amp;dst=100076" w:history="1">
        <w:r>
          <w:rPr>
            <w:rFonts w:ascii="PT Astra Serif" w:hAnsi="PT Astra Serif" w:cs="Arial"/>
            <w:sz w:val="26"/>
            <w:szCs w:val="26"/>
          </w:rPr>
          <w:t xml:space="preserve">приложению</w:t>
        </w:r>
      </w:hyperlink>
      <w:r>
        <w:rPr>
          <w:rFonts w:ascii="PT Astra Serif" w:hAnsi="PT Astra Serif" w:cs="Arial"/>
          <w:sz w:val="26"/>
          <w:szCs w:val="26"/>
        </w:rPr>
        <w:t xml:space="preserve"> к настоящему приказу.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pStyle w:val="973"/>
        <w:ind w:left="0" w:firstLine="709"/>
        <w:jc w:val="both"/>
        <w:tabs>
          <w:tab w:val="left" w:pos="-212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3201352</wp:posOffset>
                </wp:positionH>
                <wp:positionV relativeFrom="paragraph">
                  <wp:posOffset>58813</wp:posOffset>
                </wp:positionV>
                <wp:extent cx="2042160" cy="1774190"/>
                <wp:effectExtent l="0" t="0" r="0" b="0"/>
                <wp:wrapNone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7417435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 rot="0" flipH="0" flipV="0">
                          <a:off x="0" y="0"/>
                          <a:ext cx="2042159" cy="177418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56704;o:allowoverlap:true;o:allowincell:true;mso-position-horizontal-relative:text;margin-left:252.07pt;mso-position-horizontal:absolute;mso-position-vertical-relative:text;margin-top:4.63pt;mso-position-vertical:absolute;width:160.80pt;height:139.70pt;mso-wrap-distance-left:9.00pt;mso-wrap-distance-top:0.00pt;mso-wrap-distance-right:9.00pt;mso-wrap-distance-bottom:0.00pt;rotation:0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</w:rPr>
      </w:r>
      <w:r/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Настоящий приказ вступает в силу со дня официального опубликования.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Губернатора Томской области -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ачальник Департамента финансов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Томской области                                                      </w:t>
      </w:r>
      <w:r>
        <w:rPr>
          <w:rFonts w:ascii="PT Astra Serif" w:hAnsi="PT Astra Serif"/>
          <w:sz w:val="26"/>
          <w:szCs w:val="26"/>
        </w:rPr>
        <w:t xml:space="preserve">               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 А.</w:t>
      </w:r>
      <w:r>
        <w:rPr>
          <w:rFonts w:ascii="PT Astra Serif" w:hAnsi="PT Astra Serif"/>
          <w:sz w:val="26"/>
          <w:szCs w:val="26"/>
        </w:rPr>
        <w:t xml:space="preserve">М.Феденёв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r/>
      <w:r/>
      <w:r/>
    </w:p>
    <w:p>
      <w:pPr>
        <w:pStyle w:val="97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974"/>
        <w:spacing w:after="0"/>
        <w:rPr>
          <w:rFonts w:ascii="PT Astra Serif" w:hAnsi="PT Astra Serif"/>
          <w:sz w:val="26"/>
          <w:szCs w:val="26"/>
        </w:rPr>
        <w:sectPr>
          <w:headerReference w:type="default" r:id="rId9"/>
          <w:footerReference w:type="default" r:id="rId12"/>
          <w:footnotePr/>
          <w:endnotePr/>
          <w:type w:val="nextPage"/>
          <w:pgSz w:w="11907" w:h="16840" w:orient="portrait"/>
          <w:pgMar w:top="1135" w:right="708" w:bottom="992" w:left="1077" w:header="283" w:footer="255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финансов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13.01.2025 № 2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«Приложение № 1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проведения </w:t>
      </w:r>
      <w:r>
        <w:rPr>
          <w:rFonts w:ascii="PT Astra Serif" w:hAnsi="PT Astra Serif"/>
          <w:sz w:val="26"/>
          <w:szCs w:val="26"/>
        </w:rPr>
        <w:t xml:space="preserve">Департаментом финансов Томской области </w:t>
      </w:r>
      <w:r>
        <w:rPr>
          <w:rFonts w:ascii="PT Astra Serif" w:hAnsi="PT Astra Serif"/>
          <w:sz w:val="26"/>
          <w:szCs w:val="26"/>
        </w:rPr>
        <w:t xml:space="preserve">мониторинга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ind w:left="5245"/>
        <w:tabs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качества финансового менеджмента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7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52"/>
        <w:jc w:val="center"/>
        <w:rPr>
          <w:rFonts w:ascii="PT Astra Serif" w:hAnsi="PT Astra Serif"/>
          <w:b w:val="0"/>
          <w:sz w:val="26"/>
          <w:szCs w:val="26"/>
        </w:rPr>
      </w:pPr>
      <w:r/>
      <w:bookmarkStart w:id="0" w:name="P120"/>
      <w:r/>
      <w:bookmarkEnd w:id="0"/>
      <w:r>
        <w:rPr>
          <w:rFonts w:ascii="PT Astra Serif" w:hAnsi="PT Astra Serif"/>
          <w:b w:val="0"/>
          <w:sz w:val="26"/>
          <w:szCs w:val="26"/>
        </w:rPr>
        <w:t xml:space="preserve">Показатели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952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для оценки качества финансового менеджмента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952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главных администраторов средств областного бюджета</w:t>
      </w:r>
      <w:r>
        <w:rPr>
          <w:rFonts w:ascii="PT Astra Serif" w:hAnsi="PT Astra Serif"/>
          <w:b w:val="0"/>
          <w:sz w:val="26"/>
          <w:szCs w:val="26"/>
        </w:rPr>
      </w:r>
      <w:r>
        <w:rPr>
          <w:rFonts w:ascii="PT Astra Serif" w:hAnsi="PT Astra Serif"/>
          <w:b w:val="0"/>
          <w:sz w:val="26"/>
          <w:szCs w:val="26"/>
        </w:rPr>
      </w:r>
    </w:p>
    <w:p>
      <w:pPr>
        <w:pStyle w:val="97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10824" w:type="dxa"/>
        <w:tblInd w:w="-5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24"/>
        <w:gridCol w:w="2098"/>
        <w:gridCol w:w="3685"/>
        <w:gridCol w:w="156"/>
        <w:gridCol w:w="733"/>
        <w:gridCol w:w="118"/>
        <w:gridCol w:w="1836"/>
        <w:gridCol w:w="1474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/>
            <w:bookmarkStart w:id="1" w:name="P414"/>
            <w:r/>
            <w:bookmarkEnd w:id="1"/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пп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Наименование показателя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Формула расчета значения показателя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Оценка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Документы (формы бюджетной отчетности) для расчета показателя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Весовой коэффициент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1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 Мониторинг качества исполнения бюджетных полномочий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2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 Бюджетное планирование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0,15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Своевременность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представления реестра расходных обязательств главных распорядителей средств областного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бюджета (далее - ГРБС)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дата регистрации сопроводительного письма ГРБС в Департаменте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в срок, установленный </w:t>
            </w:r>
            <w:hyperlink r:id="rId23" w:tooltip="consultantplus://offline/ref=3CE17F7FEA575445A041AF798A6C247E3A3089CF302BB0CF7D2F6A47729422EF039B23902D29493F86513F43AEFD19E49FQ8Y4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Администрации Томской области от 26.01.2012 N 20а "Об утверждении Порядка ведения реестра расходных обязательств Томской области"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по истечении срока представления реестра ГРБС в Департамент финансов Томской области, установленного </w:t>
            </w:r>
            <w:hyperlink r:id="rId24" w:tooltip="consultantplus://offline/ref=3CE17F7FEA575445A041AF798A6C247E3A3089CF302BB0CF7D2F6A47729422EF039B23902D29493F86513F43AEFD19E49FQ8Y4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Администрации Томской области от 26.01.2012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20а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 утверждении Порядка ведения реестра расходных обязательств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Полнота и правильность заполнения ГРБС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реестре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расходных обязательств информации о нормативных правовых актах, являющихся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основанием для возникновения расходных обязательств,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ГРБС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расходных обязательств ГРБС на очередной финансовый год и плановый период, для которых не указаны либо указаны неверно нормативные правовые акты, являющиеся основанием для возникновения расходного обязательства с учетом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требований, изложенных в рекоменд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ациях Министерства финансов Российской Федерации по заполнению реестра расходных обязательств субъекта Российской Федерации и методических указаниях (рекомендациях) Департамента финансов Томской области по заполнению реестров расходных обязательств главных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распорядителей средств областного бюджета;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ГРБС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расходных обязательств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Реестр расходных обязательств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- 15 процентов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15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Полнота формирования обоснований бюджетных ассигнований,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Ф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Ф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Ф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заполненных в полном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объеме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форм обоснований бюджетных ассигнований ГРБС;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Ф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форм обоснований бюджетных ассигнований, необходимых к заполнению по соответствующему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Соблюдение сроков представления в Департамент финансо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в Томской области распределения бюджетных ассигнований на исполнение действующих и принимаемых расходных обязательств на очередной финансовый год и плановый период при формировании проекта областного бюджета на очередной финансовый год и плановый период к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первому чтению 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дата представления ГРБС в Департамент финансов Томской области распределения бюджетных ассигнований на исполнение действующих и принимаемых расходных обязательств на очередной финансовый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год и плановый период по форме, установленной в соответствии с приказом Департамента финансов Томской области от 19.07.2012 № 24 «Об утверждении Порядка планирования бюджетных ассигнований областного бюджета на очередной финансовый год и плановый период и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етодики планирования бюджетных ассигнований областного бюджета на очередной финансовый год и плановый период»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color w:val="ff0000"/>
                <w:sz w:val="22"/>
                <w:szCs w:val="22"/>
              </w:rPr>
            </w:pP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до даты, установленной письмом Департамента финансов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Томской области при доведении предельных объемов бюджетных ассигнований на очередной финансовый год и плановый период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ff0000"/>
                <w:sz w:val="22"/>
                <w:szCs w:val="22"/>
              </w:rPr>
            </w:pP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ff0000"/>
                <w:sz w:val="22"/>
                <w:szCs w:val="22"/>
              </w:rPr>
            </w:pP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после даты, установленной письмом Департамента финансов Томской области при доведении предельных объемов бюджетных ассигнований на очередной финансовый год и плановый период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ff0000"/>
                <w:sz w:val="22"/>
                <w:szCs w:val="22"/>
              </w:rPr>
            </w:pP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  <w:r>
              <w:rPr>
                <w:rFonts w:ascii="PT Astra Serif" w:hAnsi="PT Astra Serif" w:cs="Arial"/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1.1.5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Обеспечение аналитического учета расходов на реализацию мероприятий, входящих в состав комплексов процессных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мероприятий,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ведомственных проектов, региональных проектов, при ведении бюджетной росписи главного распорядителя бюджетных средств,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trike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trike/>
                <w:sz w:val="22"/>
                <w:szCs w:val="22"/>
              </w:rPr>
            </w:r>
            <w:r>
              <w:rPr>
                <w:rFonts w:ascii="PT Astra Serif" w:hAnsi="PT Astra Serif" w:cs="Arial"/>
                <w:strike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ДопКр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ДопКр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расходов на реализацию мероприятий, входящих в состав комплексов процессных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мероприятий,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ведомственных проектов, региональных проектов в отчетном финансовом году, которым по состоянию на 31 декабря отчетного финансового года присвоен дополнительный код расходов;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– общий объем расходов на реализацию мероприятий, входящих в состав комплексов процессных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мероприятий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ведомственных проектов, региональных проектов в отчетном финансовом году (за исключением 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комплекса процессных мероприятий по обеспечению реализации государственных функций и полномочий исполнительных органов Томской области)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–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–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2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 Исполнение бюджета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0,25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Изменения, вносимые в сводную бюджетную роспись в течение финансового года (за исключением изменений, вносимых по расходам):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1) за счет целевых межбюджетных трансфертов из федерального бюджета;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2) за счет резервных фондов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Администрации Томской области, доходов от платных услуг, оказываемых областными государственными казенными учреждениями, безвозмездных поступлений от физических и юридических лиц;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3)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отношении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которых были установлены ограничения кассовых выплат;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производимым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в целях исполнения судебных актов, предусматривающих обращение взыскания на средства областного бюджета (далее - отдельные расходы),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изм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ГРБС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доля расходов ГРБС, в отношении которых в течение отчетного года вносились изменения в сводную бюджетную роспись;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изм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бюджетных ассигнований, измененный по сводной бюджетной росписи в течение финансового года (за исключением изменений, вносимых по отдельным расходам);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ГРБС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общий объем бюджетных ассигнований ГРБС (за исключением отдельных расходов), утвержденных в первоначальной редакции закона Томской области об областном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бюджете на соответствующий финансовый год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- 10 процентов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10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Равномерность расходов,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кассовые расходы ГРБС в 4-м квартале отчетного финансового года (за исключением расходов на осущ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ествление бюджетных инвестиций, расходов, осуществляемых за счет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межбюджетных трансфертов из федерального бюджета, а также расходов, в отношении которых установлено ограничение кассовых выплат);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кассовые расходы ГРБС за отчетный финансовый год (за исключением расходов на осуществление бюджетных инвестиций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расходов, осуществляемых за счет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межбюджетных трансфертов из федерального бюджета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, а также расходов, в отношении которых установлено ограничение кассовых выплат)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- 30 процентов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свыше 30 процентов до 35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35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Отсутствие просроченной кредиторской задолженности ГРБС (без учета задолженности подведомственных областных государственных учреждений)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просроченной кредиторской задолженности ГРБС по состоянию на 1 января года, следующего за отчетным,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Отсутствие просроченной дебиторской задолженности ГРБС, включая подведомственные областные государственные казенные учреждения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просроченной дебиторской задолженности ГРБС, включая подведомственные областные государственные казенные учреждения, возникающей при исполнении бюджета по расходам, по состоянию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на 1 января года, следующего за отчетным,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Доля отклоненных заявок на расход при осуществлении санкционирования расходов за счет средств областного бюджета,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откл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откл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отклоненных Департаментом финансов Томской области заявок на расход по ГРБС при санкционировании расходов за счет средств областного бюджета, единиц;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заявок на оплату расходов за счет средств областного бюджета по ГРБС, единиц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- 2 процента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2 процентов до 5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5 процентов до 9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9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1.2.6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Суммы, взысканные за счет средств областного бюджета по исполнительным документам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сумма средств, взысканных в отчетном финансовом году за счет средств областного бюджета в соответствии со </w:t>
            </w:r>
            <w:hyperlink r:id="rId25" w:tooltip="consultantplus://offline/ref=3CE17F7FEA575445A041B1749C007A7A3F3BD5C0392DBD9B287D6C102DC424BA43DB25C57C6F153B8E5C7512E9B616E49B99274669E85D99Q0YB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статьями 242.2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и </w:t>
            </w:r>
            <w:hyperlink r:id="rId26" w:tooltip="consultantplus://offline/ref=3CE17F7FEA575445A041B1749C007A7A3F3BD5C0392DBD9B287D6C102DC424BA43DB25C27C651539D2066516A0E31DFA9D84394777E8Q5YE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242.4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Бюджетного кодекса Российской Федерации по искам к Томской области о возмещении вреда, причиненного гражданину или юридическому лицу в результате незаконных действий (бездействия) ГРБС или должностного лица ГРБС, по искам к ГРБС и (или)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подведомственным ГРБС областным государственным казенным учреждениям,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1.2.7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Суммы, предъявленные к взысканию с Томской области либо уплаченные ГРБС в отчетном финансовом году за невыполнение показателей результативности, установленных соглашениями о предоставлении субсидий, иных межбюджетных трансфертов из федерального бюджета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сумма средств, взысканных (уплаченных) за отчетный финансовый год за счет средств областного бюджета,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1.2.8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Обеспечение собираемости доходов областного бюджета,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(Д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 - кассовое исполнение по налоговым и неналоговым доходам областного бюджета по главному администратору доходов областного бюджета по данным отчета об исполнении областного бюджета (форма 0503127) за отчетный финансовый год;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утвержденное бюджетное назначение по налоговым и неналоговым доходам областного бюджета по главному администратору доходов областного бюджета по данным отчета об исполнении областного бюджета (форма 0503127) за отчетный финансовый год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- 100 процентов и более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95 процентов (включительно) до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85 процентов (включительно) до 95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75 процентов (включительно) до 85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75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1.2.9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Сокращение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просроченной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дебиторской задолженности по платежам в бюджет главного администратора доходов областного бюджета,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Н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100%,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н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просроченной дебиторской задолженности главного администратора доходов областного бюджета по состоянию на 1 января отчетного года,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просроченной дебиторской задолженности главного администратора доходов областного бюджета по состоянию на 1 января года, следующего за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отчетным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, в рублях.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В случае если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более 0, 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н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равно 0, то оценка показателя 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1.2.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9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составляет 0 баллов.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В случае если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н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равны 0, то оценка показателя 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1.2.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составляет 5 баллов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менее 20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от 20 процентов (включительно) до 60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от 60 процентов (включительно) до 95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4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98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.2.9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- 95 процентов и более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2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 Обеспечение деятельности областных государственных учреждений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0,20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Своевременность утверждения государственных заданий на оказание государственных услуг (выполнение работ) (далее - государственные задания),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1.3.1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гз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У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оценка своевременности утверждения государственных заданий;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гз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государственных заданий, которые утверждены в срок не позднее 1 месяца со дня официального опубликования закона Томской области об областном бюджете на очередной финансовый год и плановый период;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 - общее количество государственных заданий, которые должны быть утверждены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 (копии правовых актов об утверждении государственных заданий)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Соответствие государственного задания требованиям, установленным </w:t>
            </w:r>
            <w:hyperlink r:id="rId27" w:tooltip="consultantplus://offline/ref=3CE17F7FEA575445A041AF798A6C247E3A3089CF3028B7CA75296A47729422EF039B23903F29113386572141AEE84FB5D9D22A4571F45D981624A4C5Q6Y6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Порядком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формирования государственного задания в отношении областных государственных учреждений, утвержденным постановлением Администрации Томской области от 14.10.2015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375а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(далее - Порядок),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1.3.2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пр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оценка соответствия утвержденных государственных заданий требованиям, установленным Порядком;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пр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утвержденных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государственных заданий, соответствующих требованиям, указанным в </w:t>
            </w:r>
            <w:hyperlink r:id="rId28" w:tooltip="consultantplus://offline/ref=3CE17F7FEA575445A041AF798A6C247E3A3089CF3028B7CA75296A47729422EF039B23903F2911338D037007F8EE1BE28387245B75EA5FQ9Y8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пунктах 3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hyperlink r:id="rId29" w:tooltip="consultantplus://offline/ref=3CE17F7FEA575445A041AF798A6C247E3A3089CF3028B7CA75296A47729422EF039B23903F29113386572140A5E84FB5D9D22A4571F45D981624A4C5Q6Y6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- 5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Порядка;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утвержденных государственных заданий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 (копии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правовых актов об утверждении государственных заданий)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Наличие результатов контроля за выполнением (мониторинга выполнения) государственных заданий, осуществляемого в течение финансового года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порядке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и сроки, установленные главным администратором средств областного бюджета,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 госу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дарственных учреждений, в отношении которых в течение финансового года осуществлялся контроль за выполнением (мониторинг выполнения) государственных заданий в порядке и сроки, установленные правовым актом главного администратора средств областного бюджета;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 государственных учреждений, до которых доведены государственные задания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 (копия пр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авового акта главного администратора средств областного бюджета о порядке и сроке осуществления контроля за выполнением (мониторинга выполнения) государственного задания, сведения о проводимом мониторинге по форме, предусмотренной указанным правовым актом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главного администратора средств областного бюджета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70 процентов (включительно) до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70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Качество формирования годового отчета об исполнении государственного задания,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го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 государственных учреждений, сформировавших годовые отчеты об исполнении государственного задания в срок и по форме, установленные Порядком;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 государственных учреждений, до которых доведены государственные задания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 (копии годовых отчетов об исполнении государственного задания)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.3.4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Обеспечение выполнения государственных заданий в полном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объеме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государственных заданий, в которых показатели объема 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сех государственных услуг (работ) выполнены на 100 и более процентов (с учетом допустимого отклонения от установленного значения показателя объема, в пределах которого государственное задание считается выполненным, утверждаемого в соответствии с Порядком);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доведенных государственных заданий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 (копии годовых отчетов об исполнении государственного задания)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.3.5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1.3.6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Эффективность деятельности областных государственных учреждений по итогам отчетного финансового года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э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э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тво областных государственных учреждений, деятельность которых по итогам отчетного финансового года признана высокоэффективной или эффективной по результатам оценки эффективности финансово-хозяйственной деятельности учреждений, проводимой в соответствии с </w:t>
            </w:r>
            <w:hyperlink r:id="rId30" w:tooltip="consultantplus://offline/ref=3CE17F7FEA575445A041AF798A6C247E3A3089CF3028B7CA74296A47729422EF039B23902D29493F86513F43AEFD19E49FQ8Y4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Администрации Томской области от 15.01.2019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7а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деятельности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областных государственных учреждений,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отношении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которых главный администратор средств областного бюджета осуществляет функции и полномочия учредителя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.3.6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1.3.7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Размещение информации об областных государственных учреждениях на официальном сайте в сети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Интернет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www.bus.gov.ru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(далее - официальный сайт) за отчетный финансовый год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ри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ри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 государственных учреждений, разместивших на официальном сайте в отчетном финансовом году информацию по показателям, утвержденным </w:t>
            </w:r>
            <w:hyperlink r:id="rId31" w:tooltip="consultantplus://offline/ref=3CE17F7FEA575445A041B1749C007A7A393BD5C23128BD9B287D6C102DC424BA51DB7DC97C6B023285492343AFQEY0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Приказом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Министерства финансов Российской Федерации от 21.07.2011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86н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 утверждении порядка предоставления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информации государственным (муниципальным) учреждением, ее размещения на официальном сайте в сети Интернет и ведения указанного сайта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 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(учредительный документ (устав) учреждения, в том числе внесенные в него изменения, информация о показателях бюджетной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 сметы, государственное задание и отчет о его исполнении, информация о годовой бухгалтерской отчетности)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;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У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областных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государственных учреждений,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отношении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которых главный администратор средств областного бюджета осуществляет функции и полномочия учредителя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размещенная на официальном сайте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.3.7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1.3.8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Отсутствие просроченной кредиторской задолженности подведомственных областных государственных казенных учреждений, областных государственных бюджетных и областных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государственных автономных учреждений, в отношении которых ГРБС осуществляет функции и полномочия учредителя (далее - подведомственные учреждения)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просроченной кредиторской задолженности подведомственных учреждений по состоянию на 1 января года, следующего за отчетным,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.3.8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2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1.4. Формирование бюджетной отчетности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0,15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1.4.1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Качество годовой бюджетной отчетности, представляемой главным администратором бюджетных средств в Департамент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5 баллов,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форм отчетов, представленных главным администратором бюджетных средств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составе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годовой бюджетной отчетности без ошибок, единиц;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отчетов, представленных главным администратором бюджетных средств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составе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годовой бюджетной отчетности, единиц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0 - 5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1.4.2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Соблюдение установленных сроков представления главным администратором бюджетных средств годовой бюджетной отчетности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дата фактического представления главным администратором бюджетных средств отчетов в составе годовой бюджетной отчетности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до даты, установленной приказом Департамента финансов Томской области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после даты, установленной приказом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1.4.3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Качество доработки отдельных форм годовой бюджетной отчетности, представленных главным администратором бюджетных средств в Департамент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устранение ошибок в формах годовой отчетности 0503130, 0503110, 0503121, 0503123, 0503169 после первого направления Департаментом финансов Томской области соответствующих форм главным администратором бюджетных средств на доработку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ошибки устранены либо изначально отсутствовали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.4.3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ошибки не устранены и формы годовой бухгалтерской отчетности повторно возвращены Департаментом финансов Томской области главному администратору бюджетных средств на доработку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2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1.5. Предоставление межбюджетных трансфертов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1.5.1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Доля целевых межбюджетных трансфертов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, предоставляемых ГРБС местным бюджетам из областного бюджета в отчетном финансовом году, распределенных законом об областном бюджете, в общем объеме целевых межбюджетных трансфертов, предоставляемых ГРБС местным бюджетам из областного бюджета,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1.5.1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мбт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мбт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целевых межбюджетных трансфертов, предоставляемых ГРБС, распределение которых на отч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етный финансовый год утверждено законом об областном бюджете в первоначальной редакции (за исключением целевых межбюджетных трансфертов, распределяемых на конкурсной основе, межбюджетных трансфертов на достижение целевых показателей по планам мероприятий (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дорожным картам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Изменения в отраслях социальной сфере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и межбюджетных трансфертов, предусмотренных на софинансирование средств федерального бюджета, не распределенных между субъектами Российской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Федерации Федеральным законом о федеральном бюджете на отчетный финансовый год в первоначальной редакции);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з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общий объем целевых межбюджетных трансфертов, предусмотренных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ГРБС в отчетном финансовом году законом об областном бюджете в первоначальной редакции (за исключением целевых межбюджетных трансфертов, распределяемых на конкурсной основе, межбюджетных трансфертов на достижение целевых показателей по планам мероприятий (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дорожным картам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Изменения в отраслях социальной сфере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и межбюджетных трансфертов, предусмотренных на софинансирование средств федерального бюджета, не распределенных между субъектами Российской Федерации Федеральным законом о федеральном бюджете на отчетный финансовый год в первоначальной редакции)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1.5.2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Доля неиспользованных целевых межбюджетных трансфертов, предоставляемых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ГРБС местным бюджетам из областного бюджета в отчетном финансовом году,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(1 - (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ф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ф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объем целевых межбюджетных трансфертов, перечисленных ГРБС в местные бюджеты по итогам отчетного финансового года;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в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остаток межбюджетных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трансфертов на конец отчетного финансового года, возвращенный в областной бюджет из местных бюджетов,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потребность по которому не подтверждена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в порядке, установленном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hyperlink r:id="rId32" w:tooltip="consultantplus://offline/ref=3CE17F7FEA575445A041AF798A6C247E3A3089CF302AB4CA722B6A47729422EF039B23902D29493F86513F43AEFD19E49FQ8Y4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приказ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ом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области от 02.12.2016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56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Об утверждении Порядка согласования с Департаментом финансов Томской области решений главных администраторов бюджетных средств о наличии потребности в межбюджетных трансфертах, полученных в форме субсидий, субвенций и иных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межбюджетных трансфертов, имеющих целевое назначение, не использованных в отчетном финансовом году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плановый объем целевых межбюджетных трансфертов местным бюджетам, предусмотренный ГРБС сводной бюджетной росписью по состоянию на 31 декабря отчетного финансового года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представляемая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- 5 процентов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5 до 10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10 до 15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свыше 15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1.5.3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Своевременность утверждения порядков предоставления и распределения субсидий из областного бюджета местным бюджетам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составе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государственных программ Томской области,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1.5.3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С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п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субсидий ГРБС, для которых порядки предоставления и распределения утверждены до 1 апреля отчетного финансового года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составе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государственных программ Томской области, ответственным исполнителем (соисполнителем) которой является ГРБС;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оличество субсидий, предусмотренных ГРБС в отчетном финансовом году законом Томской области об областном бюджете в первоначальной редакции в составе государственных программ Томской области, ответственным исполнителем (соисполнителем) которых является ГРБС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.5.3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менее 100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3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  <w:outlineLvl w:val="1"/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2. Мониторинг качества управления активами и осуществления государственных закупок товаров, работ и услуг для обеспечения государственных нужд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0,15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2.1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Причинение ущерба государственному имуществу, закрепленному на праве оперативного управления за главным администратором бюджетных средств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суммы выявленных недостач, хищени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й, потерь имущества, ущерба, нанесенного имуществу, являющемуся нефинансовыми активами, закрепленному на праве оперативного управления за главным администратором бюджетных средств, по итогам отчетного финансового года (по данным бюджетного учета), в рублях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предоставляемая главным администратором средств областного бюджета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равно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.1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0 рублей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2.2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Эффективность расходов на содержание главного администратора бюджетных средств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(Р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Ч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Ч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 / (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Ч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),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кассовые расходы на содержание главного администратора бюджетных средств по коду вида расходов 244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Прочая закупка товаров, работ и услуг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за отчетный финансовы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й год (за исключением расходов за счет средств федерального бюджета, расходов, связанных с осуществлением полномочий Российской Федерации за счет средств областного бюджета, и расходов по коду классификации операций сектора государственного управления 296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Иные выплаты текущего характера физическим лицам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(далее - КОСГУ 296);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Ч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фактическая численность работников главного администратора бюджетных средств (за исключением фактической численности работников, осуществляющих полномочия Российской Федерации) на последнее число отчетного финансового года;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Р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общий объем кассовых расходов на содержание главных администраторов бюджетных средств по коду вида расходов 244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Прочая закупка товаров, работ и услуг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за отчетный финансовый год (расходов за счет средств федерального бюджета, расходов, связанных с осуществлением полномочий Российской Федерации за счет средств областного бюджета, и расходов по КОСГУ 296) по соответствующей группе;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Ч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общая фактическая численность работников главных администраторов бюджетных средств (за исключением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фактической численности работников, осуществляющих полномочия Российской Федерации) за отчетный финансовый год по соответствующей группе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значение меньше либо равно 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.2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значение больше 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2.3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Доля отклоненных документов в Единой информационной системе (далее - ЕИС) в рамках осуществления контроля в сфере государственных закупок, в процентах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=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откл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/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100, где: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откл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количество отклоненных Департаментом финансов Томской области документов главного администратора средств областного бюджета (без учета подведомственных областных государственных учреждений) в ЕИС при осуществлении контроля в соответствии с </w:t>
            </w:r>
            <w:hyperlink r:id="rId33" w:tooltip="consultantplus://offline/ref=23521C03C67AC24A6AB56EFD2D85E950F51C9BA8A8BDB383579D16AA9FEB1670ED47A1116E7522869E7CCBD9A47EA3CBB7D67BF1706CRCY7D" w:history="1">
              <w:r>
                <w:rPr>
                  <w:rFonts w:ascii="PT Astra Serif" w:hAnsi="PT Astra Serif" w:cs="Arial"/>
                  <w:sz w:val="22"/>
                  <w:szCs w:val="22"/>
                </w:rPr>
                <w:t xml:space="preserve">частью 5 статьи 99</w:t>
              </w:r>
            </w:hyperlink>
            <w:r>
              <w:rPr>
                <w:rFonts w:ascii="PT Astra Serif" w:hAnsi="PT Astra Serif" w:cs="Arial"/>
                <w:sz w:val="22"/>
                <w:szCs w:val="22"/>
              </w:rPr>
              <w:t xml:space="preserve"> Федерального закона от 5 апреля 2013 года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44-ФЗ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«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;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Д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общ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общее количество документов в ЕИС, единиц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1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4125774</wp:posOffset>
                      </wp:positionV>
                      <wp:extent cx="2042160" cy="1774190"/>
                      <wp:effectExtent l="0" t="0" r="0" b="0"/>
                      <wp:wrapNone/>
                      <wp:docPr id="3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42547673" name="Picture 2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 rot="0" flipH="0" flipV="0">
                                <a:off x="0" y="0"/>
                                <a:ext cx="2042159" cy="177418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position:absolute;z-index:-251656704;o:allowoverlap:true;o:allowincell:true;mso-position-horizontal-relative:text;margin-left:1.45pt;mso-position-horizontal:absolute;mso-position-vertical-relative:text;margin-top:324.86pt;mso-position-vertical:absolute;width:160.80pt;height:139.70pt;mso-wrap-distance-left:9.00pt;mso-wrap-distance-top:0.00pt;mso-wrap-distance-right:9.00pt;mso-wrap-distance-bottom:0.00pt;rotation:0;" stroked="false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распоряжении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Департамента финансов Томской области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- 3 процента и менее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3 процентов до 6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от 6 процентов до 9 процентов (включительно)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2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.</w:t>
            </w:r>
            <w:r>
              <w:rPr>
                <w:rFonts w:ascii="PT Astra Serif" w:hAnsi="PT Astra Serif" w:cs="Arial"/>
                <w:sz w:val="22"/>
                <w:szCs w:val="22"/>
                <w:vertAlign w:val="subscript"/>
              </w:rPr>
              <w:t xml:space="preserve">3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 - более 9 процентов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  <w:r>
              <w:rPr>
                <w:rFonts w:ascii="PT Astra Serif" w:hAnsi="PT Astra Serif" w:cs="Arial"/>
                <w:sz w:val="22"/>
                <w:szCs w:val="22"/>
              </w:rPr>
            </w:r>
          </w:p>
        </w:tc>
      </w:tr>
    </w:tbl>
    <w:p>
      <w:pPr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r/>
      <w:r/>
      <w:r/>
    </w:p>
    <w:p>
      <w:pPr>
        <w:pStyle w:val="970"/>
        <w:tabs>
          <w:tab w:val="left" w:pos="9923" w:leader="none"/>
        </w:tabs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sectPr>
      <w:headerReference w:type="default" r:id="rId10"/>
      <w:headerReference w:type="first" r:id="rId11"/>
      <w:footerReference w:type="first" r:id="rId13"/>
      <w:footnotePr/>
      <w:endnotePr/>
      <w:type w:val="nextPage"/>
      <w:pgSz w:w="11906" w:h="16838" w:orient="portrait"/>
      <w:pgMar w:top="567" w:right="851" w:bottom="1134" w:left="1128" w:header="28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Tahoma">
    <w:panose1 w:val="020B0604030504040204"/>
  </w:font>
  <w:font w:name="Courier New">
    <w:panose1 w:val="02070409020205020404"/>
  </w:font>
  <w:font w:name="Tms Rmn">
    <w:panose1 w:val="02000603000000000000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>
      <w:tab/>
    </w:r>
    <w:r>
      <w:tab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860139"/>
      <w:docPartObj>
        <w:docPartGallery w:val="Page Numbers (Top of Page)"/>
        <w:docPartUnique w:val="true"/>
      </w:docPartObj>
      <w:rPr/>
    </w:sdtPr>
    <w:sdtContent>
      <w:p>
        <w:pPr>
          <w:pStyle w:val="960"/>
        </w:pPr>
        <w:r>
          <w:rPr>
            <w:rFonts w:ascii="PT Astra Serif" w:hAnsi="PT Astra Serif"/>
            <w:b w:val="0"/>
            <w:sz w:val="22"/>
            <w:szCs w:val="22"/>
          </w:rPr>
          <w:fldChar w:fldCharType="begin"/>
        </w:r>
        <w:r>
          <w:rPr>
            <w:rFonts w:ascii="PT Astra Serif" w:hAnsi="PT Astra Serif"/>
            <w:b w:val="0"/>
            <w:sz w:val="22"/>
            <w:szCs w:val="22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2"/>
            <w:szCs w:val="22"/>
          </w:rPr>
          <w:fldChar w:fldCharType="separate"/>
        </w:r>
        <w:r>
          <w:rPr>
            <w:rFonts w:ascii="PT Astra Serif" w:hAnsi="PT Astra Serif"/>
            <w:b w:val="0"/>
            <w:sz w:val="22"/>
            <w:szCs w:val="22"/>
          </w:rPr>
          <w:t xml:space="preserve">4</w:t>
        </w:r>
        <w:r>
          <w:rPr>
            <w:rFonts w:ascii="PT Astra Serif" w:hAnsi="PT Astra Serif"/>
            <w:b w:val="0"/>
            <w:sz w:val="22"/>
            <w:szCs w:val="22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rPr>
        <w:rFonts w:ascii="PT Astra Serif" w:hAnsi="PT Astra Serif"/>
        <w:b w:val="0"/>
        <w:sz w:val="22"/>
        <w:szCs w:val="22"/>
      </w:rPr>
    </w:pPr>
    <w:r>
      <w:rPr>
        <w:rFonts w:ascii="PT Astra Serif" w:hAnsi="PT Astra Serif"/>
        <w:b w:val="0"/>
        <w:sz w:val="22"/>
        <w:szCs w:val="22"/>
      </w:rPr>
      <w:fldChar w:fldCharType="begin"/>
    </w:r>
    <w:r>
      <w:rPr>
        <w:rFonts w:ascii="PT Astra Serif" w:hAnsi="PT Astra Serif"/>
        <w:b w:val="0"/>
        <w:sz w:val="22"/>
        <w:szCs w:val="22"/>
      </w:rPr>
      <w:instrText xml:space="preserve"> PAGE   \* MERGEFORMAT </w:instrText>
    </w:r>
    <w:r>
      <w:rPr>
        <w:rFonts w:ascii="PT Astra Serif" w:hAnsi="PT Astra Serif"/>
        <w:b w:val="0"/>
        <w:sz w:val="22"/>
        <w:szCs w:val="22"/>
      </w:rPr>
      <w:fldChar w:fldCharType="separate"/>
    </w:r>
    <w:r>
      <w:rPr>
        <w:rFonts w:ascii="PT Astra Serif" w:hAnsi="PT Astra Serif"/>
        <w:b w:val="0"/>
        <w:sz w:val="22"/>
        <w:szCs w:val="22"/>
      </w:rPr>
      <w:t xml:space="preserve">7</w:t>
    </w:r>
    <w:r>
      <w:rPr>
        <w:rFonts w:ascii="PT Astra Serif" w:hAnsi="PT Astra Serif"/>
        <w:b w:val="0"/>
        <w:sz w:val="22"/>
        <w:szCs w:val="22"/>
      </w:rPr>
      <w:fldChar w:fldCharType="end"/>
    </w:r>
    <w:r>
      <w:rPr>
        <w:rFonts w:ascii="PT Astra Serif" w:hAnsi="PT Astra Serif"/>
        <w:b w:val="0"/>
        <w:sz w:val="22"/>
        <w:szCs w:val="22"/>
      </w:rPr>
    </w:r>
    <w:r>
      <w:rPr>
        <w:rFonts w:ascii="PT Astra Serif" w:hAnsi="PT Astra Serif"/>
        <w:b w:val="0"/>
        <w:sz w:val="22"/>
        <w:szCs w:val="22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0" w:hanging="1320"/>
        <w:tabs>
          <w:tab w:val="num" w:pos="13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3"/>
      <w:numFmt w:val="bullet"/>
      <w:isLgl w:val="false"/>
      <w:suff w:val="tab"/>
      <w:lvlText w:val="-"/>
      <w:lvlJc w:val="left"/>
      <w:pPr>
        <w:ind w:left="1069" w:hanging="360"/>
        <w:tabs>
          <w:tab w:val="num" w:pos="1069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  <w:tabs>
          <w:tab w:val="num" w:pos="1789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  <w:tabs>
          <w:tab w:val="num" w:pos="250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  <w:tabs>
          <w:tab w:val="num" w:pos="322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  <w:tabs>
          <w:tab w:val="num" w:pos="3949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  <w:tabs>
          <w:tab w:val="num" w:pos="466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  <w:tabs>
          <w:tab w:val="num" w:pos="538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  <w:tabs>
          <w:tab w:val="num" w:pos="6109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  <w:tabs>
          <w:tab w:val="num" w:pos="6829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(%1)"/>
      <w:lvlJc w:val="left"/>
      <w:pPr>
        <w:ind w:left="750" w:hanging="390"/>
        <w:tabs>
          <w:tab w:val="num" w:pos="7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1860" w:hanging="1320"/>
        <w:tabs>
          <w:tab w:val="num" w:pos="18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00" w:hanging="1320"/>
        <w:tabs>
          <w:tab w:val="num" w:pos="24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40" w:hanging="1320"/>
        <w:tabs>
          <w:tab w:val="num" w:pos="29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320"/>
        <w:tabs>
          <w:tab w:val="num" w:pos="34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800"/>
        <w:tabs>
          <w:tab w:val="num" w:pos="50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480" w:hanging="2160"/>
        <w:tabs>
          <w:tab w:val="num" w:pos="6480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  <w:tabs>
          <w:tab w:val="num" w:pos="214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  <w:tabs>
          <w:tab w:val="num" w:pos="286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  <w:tabs>
          <w:tab w:val="num" w:pos="358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  <w:tabs>
          <w:tab w:val="num" w:pos="430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  <w:tabs>
          <w:tab w:val="num" w:pos="502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  <w:tabs>
          <w:tab w:val="num" w:pos="574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  <w:tabs>
          <w:tab w:val="num" w:pos="646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  <w:tabs>
          <w:tab w:val="num" w:pos="7189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5">
    <w:multiLevelType w:val="hybridMultilevel"/>
    <w:lvl w:ilvl="0">
      <w:start w:val="1"/>
      <w:numFmt w:val="bullet"/>
      <w:pStyle w:val="964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bullet"/>
      <w:pStyle w:val="968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none"/>
      <w:pStyle w:val="963"/>
      <w:isLgl w:val="false"/>
      <w:suff w:val="tab"/>
      <w:lvlText w:val="%1"/>
      <w:lvlJc w:val="left"/>
      <w:pPr>
        <w:ind w:left="0" w:firstLine="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pStyle w:val="965"/>
      <w:isLgl w:val="false"/>
      <w:suff w:val="tab"/>
      <w:lvlText w:val="%1%2."/>
      <w:lvlJc w:val="left"/>
      <w:pPr>
        <w:ind w:left="357" w:hanging="357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pStyle w:val="966"/>
      <w:isLgl w:val="false"/>
      <w:suff w:val="tab"/>
      <w:lvlText w:val="%2.%1%3."/>
      <w:lvlJc w:val="left"/>
      <w:pPr>
        <w:ind w:left="737" w:hanging="380"/>
        <w:tabs>
          <w:tab w:val="num" w:pos="1077" w:leader="none"/>
        </w:tabs>
      </w:pPr>
      <w:rPr>
        <w:rFonts w:hint="default"/>
      </w:rPr>
    </w:lvl>
    <w:lvl w:ilvl="3">
      <w:start w:val="1"/>
      <w:numFmt w:val="none"/>
      <w:isLgl w:val="false"/>
      <w:suff w:val="tab"/>
      <w:lvlText w:val="%1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none"/>
      <w:isLgl w:val="false"/>
      <w:suff w:val="tab"/>
      <w:lvlText w:val="%1"/>
      <w:lvlJc w:val="left"/>
      <w:pPr>
        <w:ind w:left="3600" w:hanging="720"/>
        <w:tabs>
          <w:tab w:val="num" w:pos="3600" w:leader="none"/>
        </w:tabs>
      </w:pPr>
      <w:rPr>
        <w:rFonts w:hint="default"/>
      </w:rPr>
    </w:lvl>
    <w:lvl w:ilvl="5">
      <w:start w:val="1"/>
      <w:numFmt w:val="none"/>
      <w:isLgl w:val="false"/>
      <w:suff w:val="tab"/>
      <w:lvlText w:val="%1"/>
      <w:lvlJc w:val="left"/>
      <w:pPr>
        <w:ind w:left="4320" w:hanging="720"/>
        <w:tabs>
          <w:tab w:val="num" w:pos="4320" w:leader="none"/>
        </w:tabs>
      </w:pPr>
      <w:rPr>
        <w:rFonts w:hint="default"/>
      </w:rPr>
    </w:lvl>
    <w:lvl w:ilvl="6">
      <w:start w:val="1"/>
      <w:numFmt w:val="none"/>
      <w:isLgl w:val="false"/>
      <w:suff w:val="tab"/>
      <w:lvlText w:val="%1"/>
      <w:lvlJc w:val="left"/>
      <w:pPr>
        <w:ind w:left="5040" w:hanging="720"/>
        <w:tabs>
          <w:tab w:val="num" w:pos="5040" w:leader="none"/>
        </w:tabs>
      </w:pPr>
      <w:rPr>
        <w:rFonts w:hint="default"/>
      </w:rPr>
    </w:lvl>
    <w:lvl w:ilvl="7">
      <w:start w:val="1"/>
      <w:numFmt w:val="none"/>
      <w:isLgl w:val="false"/>
      <w:suff w:val="tab"/>
      <w:lvlText w:val="%1"/>
      <w:lvlJc w:val="left"/>
      <w:pPr>
        <w:ind w:left="5760" w:hanging="720"/>
        <w:tabs>
          <w:tab w:val="num" w:pos="5760" w:leader="none"/>
        </w:tabs>
      </w:pPr>
      <w:rPr>
        <w:rFonts w:hint="default"/>
      </w:rPr>
    </w:lvl>
    <w:lvl w:ilvl="8">
      <w:start w:val="1"/>
      <w:numFmt w:val="none"/>
      <w:isLgl w:val="false"/>
      <w:suff w:val="tab"/>
      <w:lvlText w:val="%1"/>
      <w:lvlJc w:val="left"/>
      <w:pPr>
        <w:ind w:left="6480" w:hanging="720"/>
        <w:tabs>
          <w:tab w:val="num" w:pos="6480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5" w:hanging="915"/>
        <w:tabs>
          <w:tab w:val="num" w:pos="145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5"/>
  </w:num>
  <w:num w:numId="4">
    <w:abstractNumId w:val="24"/>
  </w:num>
  <w:num w:numId="5">
    <w:abstractNumId w:val="6"/>
  </w:num>
  <w:num w:numId="6">
    <w:abstractNumId w:val="9"/>
  </w:num>
  <w:num w:numId="7">
    <w:abstractNumId w:val="22"/>
  </w:num>
  <w:num w:numId="8">
    <w:abstractNumId w:val="4"/>
  </w:num>
  <w:num w:numId="9">
    <w:abstractNumId w:val="5"/>
  </w:num>
  <w:num w:numId="10">
    <w:abstractNumId w:val="14"/>
  </w:num>
  <w:num w:numId="11">
    <w:abstractNumId w:val="16"/>
  </w:num>
  <w:num w:numId="12">
    <w:abstractNumId w:val="18"/>
  </w:num>
  <w:num w:numId="13">
    <w:abstractNumId w:val="17"/>
  </w:num>
  <w:num w:numId="14">
    <w:abstractNumId w:val="10"/>
  </w:num>
  <w:num w:numId="15">
    <w:abstractNumId w:val="20"/>
  </w:num>
  <w:num w:numId="16">
    <w:abstractNumId w:val="0"/>
  </w:num>
  <w:num w:numId="17">
    <w:abstractNumId w:val="8"/>
  </w:num>
  <w:num w:numId="18">
    <w:abstractNumId w:val="21"/>
  </w:num>
  <w:num w:numId="19">
    <w:abstractNumId w:val="13"/>
  </w:num>
  <w:num w:numId="20">
    <w:abstractNumId w:val="26"/>
  </w:num>
  <w:num w:numId="21">
    <w:abstractNumId w:val="11"/>
  </w:num>
  <w:num w:numId="22">
    <w:abstractNumId w:val="25"/>
  </w:num>
  <w:num w:numId="23">
    <w:abstractNumId w:val="1"/>
  </w:num>
  <w:num w:numId="24">
    <w:abstractNumId w:val="19"/>
  </w:num>
  <w:num w:numId="25">
    <w:abstractNumId w:val="23"/>
  </w:num>
  <w:num w:numId="26">
    <w:abstractNumId w:val="1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5">
    <w:name w:val="Heading 1"/>
    <w:basedOn w:val="946"/>
    <w:next w:val="946"/>
    <w:link w:val="7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6">
    <w:name w:val="Heading 1 Char"/>
    <w:basedOn w:val="949"/>
    <w:link w:val="775"/>
    <w:uiPriority w:val="9"/>
    <w:rPr>
      <w:rFonts w:ascii="Arial" w:hAnsi="Arial" w:eastAsia="Arial" w:cs="Arial"/>
      <w:sz w:val="40"/>
      <w:szCs w:val="40"/>
    </w:rPr>
  </w:style>
  <w:style w:type="paragraph" w:styleId="777">
    <w:name w:val="Heading 2"/>
    <w:basedOn w:val="946"/>
    <w:next w:val="946"/>
    <w:link w:val="77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8">
    <w:name w:val="Heading 2 Char"/>
    <w:basedOn w:val="949"/>
    <w:link w:val="777"/>
    <w:uiPriority w:val="9"/>
    <w:rPr>
      <w:rFonts w:ascii="Arial" w:hAnsi="Arial" w:eastAsia="Arial" w:cs="Arial"/>
      <w:sz w:val="34"/>
    </w:rPr>
  </w:style>
  <w:style w:type="paragraph" w:styleId="779">
    <w:name w:val="Heading 3"/>
    <w:basedOn w:val="946"/>
    <w:next w:val="946"/>
    <w:link w:val="7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0">
    <w:name w:val="Heading 3 Char"/>
    <w:basedOn w:val="949"/>
    <w:link w:val="779"/>
    <w:uiPriority w:val="9"/>
    <w:rPr>
      <w:rFonts w:ascii="Arial" w:hAnsi="Arial" w:eastAsia="Arial" w:cs="Arial"/>
      <w:sz w:val="30"/>
      <w:szCs w:val="30"/>
    </w:rPr>
  </w:style>
  <w:style w:type="character" w:styleId="781">
    <w:name w:val="Heading 4 Char"/>
    <w:basedOn w:val="949"/>
    <w:link w:val="947"/>
    <w:uiPriority w:val="9"/>
    <w:rPr>
      <w:rFonts w:ascii="Arial" w:hAnsi="Arial" w:eastAsia="Arial" w:cs="Arial"/>
      <w:b/>
      <w:bCs/>
      <w:sz w:val="26"/>
      <w:szCs w:val="26"/>
    </w:rPr>
  </w:style>
  <w:style w:type="character" w:styleId="782">
    <w:name w:val="Heading 5 Char"/>
    <w:basedOn w:val="949"/>
    <w:link w:val="948"/>
    <w:uiPriority w:val="9"/>
    <w:rPr>
      <w:rFonts w:ascii="Arial" w:hAnsi="Arial" w:eastAsia="Arial" w:cs="Arial"/>
      <w:b/>
      <w:bCs/>
      <w:sz w:val="24"/>
      <w:szCs w:val="24"/>
    </w:rPr>
  </w:style>
  <w:style w:type="paragraph" w:styleId="783">
    <w:name w:val="Heading 6"/>
    <w:basedOn w:val="946"/>
    <w:next w:val="946"/>
    <w:link w:val="7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4">
    <w:name w:val="Heading 6 Char"/>
    <w:basedOn w:val="949"/>
    <w:link w:val="783"/>
    <w:uiPriority w:val="9"/>
    <w:rPr>
      <w:rFonts w:ascii="Arial" w:hAnsi="Arial" w:eastAsia="Arial" w:cs="Arial"/>
      <w:b/>
      <w:bCs/>
      <w:sz w:val="22"/>
      <w:szCs w:val="22"/>
    </w:rPr>
  </w:style>
  <w:style w:type="paragraph" w:styleId="785">
    <w:name w:val="Heading 7"/>
    <w:basedOn w:val="946"/>
    <w:next w:val="946"/>
    <w:link w:val="7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>
    <w:name w:val="Heading 7 Char"/>
    <w:basedOn w:val="949"/>
    <w:link w:val="7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7">
    <w:name w:val="Heading 8"/>
    <w:basedOn w:val="946"/>
    <w:next w:val="946"/>
    <w:link w:val="7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8">
    <w:name w:val="Heading 8 Char"/>
    <w:basedOn w:val="949"/>
    <w:link w:val="787"/>
    <w:uiPriority w:val="9"/>
    <w:rPr>
      <w:rFonts w:ascii="Arial" w:hAnsi="Arial" w:eastAsia="Arial" w:cs="Arial"/>
      <w:i/>
      <w:iCs/>
      <w:sz w:val="22"/>
      <w:szCs w:val="22"/>
    </w:rPr>
  </w:style>
  <w:style w:type="paragraph" w:styleId="789">
    <w:name w:val="Heading 9"/>
    <w:basedOn w:val="946"/>
    <w:next w:val="946"/>
    <w:link w:val="7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0">
    <w:name w:val="Heading 9 Char"/>
    <w:basedOn w:val="949"/>
    <w:link w:val="789"/>
    <w:uiPriority w:val="9"/>
    <w:rPr>
      <w:rFonts w:ascii="Arial" w:hAnsi="Arial" w:eastAsia="Arial" w:cs="Arial"/>
      <w:i/>
      <w:iCs/>
      <w:sz w:val="21"/>
      <w:szCs w:val="21"/>
    </w:rPr>
  </w:style>
  <w:style w:type="paragraph" w:styleId="791">
    <w:name w:val="No Spacing"/>
    <w:uiPriority w:val="1"/>
    <w:qFormat/>
    <w:pPr>
      <w:spacing w:before="0" w:after="0" w:line="240" w:lineRule="auto"/>
    </w:pPr>
  </w:style>
  <w:style w:type="paragraph" w:styleId="792">
    <w:name w:val="Title"/>
    <w:basedOn w:val="946"/>
    <w:next w:val="946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>
    <w:name w:val="Title Char"/>
    <w:basedOn w:val="949"/>
    <w:link w:val="792"/>
    <w:uiPriority w:val="10"/>
    <w:rPr>
      <w:sz w:val="48"/>
      <w:szCs w:val="48"/>
    </w:rPr>
  </w:style>
  <w:style w:type="paragraph" w:styleId="794">
    <w:name w:val="Subtitle"/>
    <w:basedOn w:val="946"/>
    <w:next w:val="946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>
    <w:name w:val="Subtitle Char"/>
    <w:basedOn w:val="949"/>
    <w:link w:val="794"/>
    <w:uiPriority w:val="11"/>
    <w:rPr>
      <w:sz w:val="24"/>
      <w:szCs w:val="24"/>
    </w:rPr>
  </w:style>
  <w:style w:type="paragraph" w:styleId="796">
    <w:name w:val="Quote"/>
    <w:basedOn w:val="946"/>
    <w:next w:val="946"/>
    <w:link w:val="797"/>
    <w:uiPriority w:val="29"/>
    <w:qFormat/>
    <w:pPr>
      <w:ind w:left="720" w:right="720"/>
    </w:pPr>
    <w:rPr>
      <w:i/>
    </w:rPr>
  </w:style>
  <w:style w:type="character" w:styleId="797">
    <w:name w:val="Quote Char"/>
    <w:link w:val="796"/>
    <w:uiPriority w:val="29"/>
    <w:rPr>
      <w:i/>
    </w:rPr>
  </w:style>
  <w:style w:type="paragraph" w:styleId="798">
    <w:name w:val="Intense Quote"/>
    <w:basedOn w:val="946"/>
    <w:next w:val="946"/>
    <w:link w:val="7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>
    <w:name w:val="Intense Quote Char"/>
    <w:link w:val="798"/>
    <w:uiPriority w:val="30"/>
    <w:rPr>
      <w:i/>
    </w:rPr>
  </w:style>
  <w:style w:type="character" w:styleId="800">
    <w:name w:val="Header Char"/>
    <w:basedOn w:val="949"/>
    <w:link w:val="960"/>
    <w:uiPriority w:val="99"/>
  </w:style>
  <w:style w:type="character" w:styleId="801">
    <w:name w:val="Footer Char"/>
    <w:basedOn w:val="949"/>
    <w:link w:val="955"/>
    <w:uiPriority w:val="99"/>
  </w:style>
  <w:style w:type="paragraph" w:styleId="802">
    <w:name w:val="Caption"/>
    <w:basedOn w:val="946"/>
    <w:next w:val="9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>
    <w:name w:val="Caption Char"/>
    <w:basedOn w:val="802"/>
    <w:link w:val="955"/>
    <w:uiPriority w:val="99"/>
  </w:style>
  <w:style w:type="table" w:styleId="804">
    <w:name w:val="Table Grid"/>
    <w:basedOn w:val="95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>
    <w:name w:val="Table Grid Light"/>
    <w:basedOn w:val="9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Plain Table 1"/>
    <w:basedOn w:val="9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>
    <w:name w:val="Plain Table 2"/>
    <w:basedOn w:val="9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>
    <w:name w:val="Plain Table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Plain Table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>
    <w:name w:val="Grid Table 1 Light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4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>
    <w:name w:val="Grid Table 4 - Accent 1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4">
    <w:name w:val="Grid Table 4 - Accent 2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Grid Table 4 - Accent 3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6">
    <w:name w:val="Grid Table 4 - Accent 4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Grid Table 4 - Accent 5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8">
    <w:name w:val="Grid Table 4 - Accent 6"/>
    <w:basedOn w:val="9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9">
    <w:name w:val="Grid Table 5 Dark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0">
    <w:name w:val="Grid Table 5 Dark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3">
    <w:name w:val="Grid Table 5 Dark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6">
    <w:name w:val="Grid Table 6 Colorful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7">
    <w:name w:val="Grid Table 6 Colorful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8">
    <w:name w:val="Grid Table 6 Colorful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9">
    <w:name w:val="Grid Table 6 Colorful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0">
    <w:name w:val="Grid Table 6 Colorful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1">
    <w:name w:val="Grid Table 6 Colorful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2">
    <w:name w:val="Grid Table 6 Colorful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7 Colorful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8">
    <w:name w:val="List Table 2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9">
    <w:name w:val="List Table 2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0">
    <w:name w:val="List Table 2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1">
    <w:name w:val="List Table 2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2">
    <w:name w:val="List Table 2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3">
    <w:name w:val="List Table 2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4">
    <w:name w:val="List Table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5 Dark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6 Colorful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6">
    <w:name w:val="List Table 6 Colorful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7">
    <w:name w:val="List Table 6 Colorful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8">
    <w:name w:val="List Table 6 Colorful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9">
    <w:name w:val="List Table 6 Colorful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0">
    <w:name w:val="List Table 6 Colorful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1">
    <w:name w:val="List Table 6 Colorful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2">
    <w:name w:val="List Table 7 Colorful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3">
    <w:name w:val="List Table 7 Colorful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4">
    <w:name w:val="List Table 7 Colorful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5">
    <w:name w:val="List Table 7 Colorful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6">
    <w:name w:val="List Table 7 Colorful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7">
    <w:name w:val="List Table 7 Colorful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8">
    <w:name w:val="List Table 7 Colorful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9">
    <w:name w:val="Lined - Accent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0">
    <w:name w:val="Lined - Accent 1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1">
    <w:name w:val="Lined - Accent 2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2">
    <w:name w:val="Lined - Accent 3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3">
    <w:name w:val="Lined - Accent 4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4">
    <w:name w:val="Lined - Accent 5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5">
    <w:name w:val="Lined - Accent 6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6">
    <w:name w:val="Bordered &amp; Lined - Accent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Bordered &amp; Lined - Accent 1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8">
    <w:name w:val="Bordered &amp; Lined - Accent 2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9">
    <w:name w:val="Bordered &amp; Lined - Accent 3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0">
    <w:name w:val="Bordered &amp; Lined - Accent 4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1">
    <w:name w:val="Bordered &amp; Lined - Accent 5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2">
    <w:name w:val="Bordered &amp; Lined - Accent 6"/>
    <w:basedOn w:val="9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3">
    <w:name w:val="Bordered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4">
    <w:name w:val="Bordered - Accent 1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5">
    <w:name w:val="Bordered - Accent 2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6">
    <w:name w:val="Bordered - Accent 3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7">
    <w:name w:val="Bordered - Accent 4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8">
    <w:name w:val="Bordered - Accent 5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9">
    <w:name w:val="Bordered - Accent 6"/>
    <w:basedOn w:val="9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character" w:styleId="931">
    <w:name w:val="Footnote Text Char"/>
    <w:link w:val="958"/>
    <w:uiPriority w:val="99"/>
    <w:rPr>
      <w:sz w:val="18"/>
    </w:rPr>
  </w:style>
  <w:style w:type="paragraph" w:styleId="932">
    <w:name w:val="endnote text"/>
    <w:basedOn w:val="946"/>
    <w:link w:val="933"/>
    <w:uiPriority w:val="99"/>
    <w:semiHidden/>
    <w:unhideWhenUsed/>
    <w:pPr>
      <w:spacing w:after="0" w:line="240" w:lineRule="auto"/>
    </w:pPr>
    <w:rPr>
      <w:sz w:val="20"/>
    </w:rPr>
  </w:style>
  <w:style w:type="character" w:styleId="933">
    <w:name w:val="Endnote Text Char"/>
    <w:link w:val="932"/>
    <w:uiPriority w:val="99"/>
    <w:rPr>
      <w:sz w:val="20"/>
    </w:rPr>
  </w:style>
  <w:style w:type="character" w:styleId="934">
    <w:name w:val="endnote reference"/>
    <w:basedOn w:val="949"/>
    <w:uiPriority w:val="99"/>
    <w:semiHidden/>
    <w:unhideWhenUsed/>
    <w:rPr>
      <w:vertAlign w:val="superscript"/>
    </w:rPr>
  </w:style>
  <w:style w:type="paragraph" w:styleId="935">
    <w:name w:val="toc 1"/>
    <w:basedOn w:val="946"/>
    <w:next w:val="946"/>
    <w:uiPriority w:val="39"/>
    <w:unhideWhenUsed/>
    <w:pPr>
      <w:ind w:left="0" w:right="0" w:firstLine="0"/>
      <w:spacing w:after="57"/>
    </w:pPr>
  </w:style>
  <w:style w:type="paragraph" w:styleId="936">
    <w:name w:val="toc 2"/>
    <w:basedOn w:val="946"/>
    <w:next w:val="946"/>
    <w:uiPriority w:val="39"/>
    <w:unhideWhenUsed/>
    <w:pPr>
      <w:ind w:left="283" w:right="0" w:firstLine="0"/>
      <w:spacing w:after="57"/>
    </w:pPr>
  </w:style>
  <w:style w:type="paragraph" w:styleId="937">
    <w:name w:val="toc 3"/>
    <w:basedOn w:val="946"/>
    <w:next w:val="946"/>
    <w:uiPriority w:val="39"/>
    <w:unhideWhenUsed/>
    <w:pPr>
      <w:ind w:left="567" w:right="0" w:firstLine="0"/>
      <w:spacing w:after="57"/>
    </w:pPr>
  </w:style>
  <w:style w:type="paragraph" w:styleId="938">
    <w:name w:val="toc 4"/>
    <w:basedOn w:val="946"/>
    <w:next w:val="946"/>
    <w:uiPriority w:val="39"/>
    <w:unhideWhenUsed/>
    <w:pPr>
      <w:ind w:left="850" w:right="0" w:firstLine="0"/>
      <w:spacing w:after="57"/>
    </w:pPr>
  </w:style>
  <w:style w:type="paragraph" w:styleId="939">
    <w:name w:val="toc 5"/>
    <w:basedOn w:val="946"/>
    <w:next w:val="946"/>
    <w:uiPriority w:val="39"/>
    <w:unhideWhenUsed/>
    <w:pPr>
      <w:ind w:left="1134" w:right="0" w:firstLine="0"/>
      <w:spacing w:after="57"/>
    </w:pPr>
  </w:style>
  <w:style w:type="paragraph" w:styleId="940">
    <w:name w:val="toc 6"/>
    <w:basedOn w:val="946"/>
    <w:next w:val="946"/>
    <w:uiPriority w:val="39"/>
    <w:unhideWhenUsed/>
    <w:pPr>
      <w:ind w:left="1417" w:right="0" w:firstLine="0"/>
      <w:spacing w:after="57"/>
    </w:pPr>
  </w:style>
  <w:style w:type="paragraph" w:styleId="941">
    <w:name w:val="toc 7"/>
    <w:basedOn w:val="946"/>
    <w:next w:val="946"/>
    <w:uiPriority w:val="39"/>
    <w:unhideWhenUsed/>
    <w:pPr>
      <w:ind w:left="1701" w:right="0" w:firstLine="0"/>
      <w:spacing w:after="57"/>
    </w:pPr>
  </w:style>
  <w:style w:type="paragraph" w:styleId="942">
    <w:name w:val="toc 8"/>
    <w:basedOn w:val="946"/>
    <w:next w:val="946"/>
    <w:uiPriority w:val="39"/>
    <w:unhideWhenUsed/>
    <w:pPr>
      <w:ind w:left="1984" w:right="0" w:firstLine="0"/>
      <w:spacing w:after="57"/>
    </w:pPr>
  </w:style>
  <w:style w:type="paragraph" w:styleId="943">
    <w:name w:val="toc 9"/>
    <w:basedOn w:val="946"/>
    <w:next w:val="946"/>
    <w:uiPriority w:val="39"/>
    <w:unhideWhenUsed/>
    <w:pPr>
      <w:ind w:left="2268" w:right="0" w:firstLine="0"/>
      <w:spacing w:after="57"/>
    </w:pPr>
  </w:style>
  <w:style w:type="paragraph" w:styleId="944">
    <w:name w:val="TOC Heading"/>
    <w:uiPriority w:val="39"/>
    <w:unhideWhenUsed/>
  </w:style>
  <w:style w:type="paragraph" w:styleId="945">
    <w:name w:val="table of figures"/>
    <w:basedOn w:val="946"/>
    <w:next w:val="946"/>
    <w:uiPriority w:val="99"/>
    <w:unhideWhenUsed/>
    <w:pPr>
      <w:spacing w:after="0" w:afterAutospacing="0"/>
    </w:pPr>
  </w:style>
  <w:style w:type="paragraph" w:styleId="946" w:default="1">
    <w:name w:val="Normal"/>
    <w:qFormat/>
    <w:rPr>
      <w:sz w:val="24"/>
      <w:szCs w:val="24"/>
    </w:rPr>
  </w:style>
  <w:style w:type="paragraph" w:styleId="947">
    <w:name w:val="Heading 4"/>
    <w:basedOn w:val="946"/>
    <w:next w:val="946"/>
    <w:qFormat/>
    <w:pPr>
      <w:ind w:right="566"/>
      <w:jc w:val="center"/>
      <w:keepNext/>
      <w:outlineLvl w:val="3"/>
    </w:pPr>
    <w:rPr>
      <w:rFonts w:ascii="Tms Rmn" w:hAnsi="Tms Rmn"/>
      <w:b/>
      <w:sz w:val="26"/>
      <w:szCs w:val="20"/>
    </w:rPr>
  </w:style>
  <w:style w:type="paragraph" w:styleId="948">
    <w:name w:val="Heading 5"/>
    <w:basedOn w:val="946"/>
    <w:next w:val="946"/>
    <w:qFormat/>
    <w:pPr>
      <w:ind w:right="566"/>
      <w:jc w:val="center"/>
      <w:keepNext/>
      <w:outlineLvl w:val="4"/>
    </w:pPr>
    <w:rPr>
      <w:sz w:val="26"/>
      <w:szCs w:val="20"/>
    </w:rPr>
  </w:style>
  <w:style w:type="character" w:styleId="949" w:default="1">
    <w:name w:val="Default Paragraph Font"/>
    <w:uiPriority w:val="1"/>
    <w:semiHidden/>
    <w:unhideWhenUsed/>
  </w:style>
  <w:style w:type="table" w:styleId="95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1" w:default="1">
    <w:name w:val="No List"/>
    <w:uiPriority w:val="99"/>
    <w:semiHidden/>
    <w:unhideWhenUsed/>
  </w:style>
  <w:style w:type="paragraph" w:styleId="952" w:customStyle="1">
    <w:name w:val="ConsPlusTitle"/>
    <w:rPr>
      <w:b/>
      <w:bCs/>
      <w:sz w:val="24"/>
      <w:szCs w:val="24"/>
    </w:rPr>
  </w:style>
  <w:style w:type="paragraph" w:styleId="953" w:customStyle="1">
    <w:name w:val="ConsPlusCell"/>
    <w:rPr>
      <w:rFonts w:ascii="Arial" w:hAnsi="Arial" w:cs="Arial"/>
      <w:sz w:val="16"/>
      <w:szCs w:val="16"/>
    </w:rPr>
  </w:style>
  <w:style w:type="paragraph" w:styleId="954" w:customStyle="1">
    <w:name w:val="ConsPlusNonformat"/>
    <w:rPr>
      <w:rFonts w:ascii="Courier New" w:hAnsi="Courier New" w:cs="Courier New"/>
      <w:sz w:val="16"/>
      <w:szCs w:val="16"/>
    </w:rPr>
  </w:style>
  <w:style w:type="paragraph" w:styleId="955">
    <w:name w:val="Footer"/>
    <w:basedOn w:val="946"/>
    <w:semiHidden/>
    <w:pPr>
      <w:tabs>
        <w:tab w:val="center" w:pos="4677" w:leader="none"/>
        <w:tab w:val="right" w:pos="9355" w:leader="none"/>
      </w:tabs>
    </w:pPr>
  </w:style>
  <w:style w:type="character" w:styleId="956">
    <w:name w:val="page number"/>
    <w:basedOn w:val="949"/>
    <w:semiHidden/>
  </w:style>
  <w:style w:type="character" w:styleId="957">
    <w:name w:val="footnote reference"/>
    <w:basedOn w:val="949"/>
    <w:semiHidden/>
    <w:rPr>
      <w:vertAlign w:val="superscript"/>
    </w:rPr>
  </w:style>
  <w:style w:type="paragraph" w:styleId="958">
    <w:name w:val="footnote text"/>
    <w:basedOn w:val="946"/>
    <w:semiHidden/>
    <w:pPr>
      <w:ind w:hanging="142"/>
      <w:jc w:val="both"/>
      <w:spacing w:before="60" w:after="60"/>
    </w:pPr>
    <w:rPr>
      <w:sz w:val="16"/>
      <w:szCs w:val="20"/>
    </w:rPr>
  </w:style>
  <w:style w:type="paragraph" w:styleId="959">
    <w:name w:val="Body Text Indent 2"/>
    <w:basedOn w:val="946"/>
    <w:semiHidden/>
    <w:pPr>
      <w:ind w:firstLine="540"/>
      <w:jc w:val="both"/>
      <w:spacing w:line="360" w:lineRule="auto"/>
    </w:pPr>
    <w:rPr>
      <w:strike/>
      <w:sz w:val="28"/>
      <w:szCs w:val="28"/>
    </w:rPr>
  </w:style>
  <w:style w:type="paragraph" w:styleId="960">
    <w:name w:val="Header"/>
    <w:basedOn w:val="946"/>
    <w:link w:val="976"/>
    <w:uiPriority w:val="99"/>
    <w:pPr>
      <w:ind w:firstLine="709"/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  <w:szCs w:val="20"/>
    </w:rPr>
  </w:style>
  <w:style w:type="paragraph" w:styleId="961">
    <w:name w:val="Body Text Indent"/>
    <w:basedOn w:val="946"/>
    <w:semiHidden/>
    <w:pPr>
      <w:ind w:firstLine="284"/>
      <w:jc w:val="both"/>
      <w:spacing w:line="360" w:lineRule="auto"/>
    </w:pPr>
    <w:rPr>
      <w:sz w:val="26"/>
      <w:szCs w:val="20"/>
    </w:rPr>
  </w:style>
  <w:style w:type="paragraph" w:styleId="962" w:customStyle="1">
    <w:name w:val="Адресат"/>
    <w:basedOn w:val="946"/>
    <w:pPr>
      <w:spacing w:before="120"/>
    </w:pPr>
    <w:rPr>
      <w:b/>
      <w:sz w:val="26"/>
      <w:szCs w:val="20"/>
    </w:rPr>
  </w:style>
  <w:style w:type="paragraph" w:styleId="963" w:customStyle="1">
    <w:name w:val="Спис_заголовок"/>
    <w:basedOn w:val="946"/>
    <w:next w:val="967"/>
    <w:pPr>
      <w:numPr>
        <w:ilvl w:val="0"/>
        <w:numId w:val="4"/>
      </w:numPr>
      <w:jc w:val="both"/>
      <w:keepLines/>
      <w:keepNext/>
      <w:spacing w:before="60" w:after="60"/>
      <w:tabs>
        <w:tab w:val="left" w:pos="0" w:leader="none"/>
      </w:tabs>
    </w:pPr>
    <w:rPr>
      <w:sz w:val="28"/>
      <w:szCs w:val="20"/>
    </w:rPr>
  </w:style>
  <w:style w:type="paragraph" w:styleId="964" w:customStyle="1">
    <w:name w:val="Список3"/>
    <w:basedOn w:val="946"/>
    <w:pPr>
      <w:numPr>
        <w:ilvl w:val="0"/>
        <w:numId w:val="3"/>
      </w:numPr>
      <w:jc w:val="both"/>
      <w:spacing w:before="20" w:after="20"/>
      <w:tabs>
        <w:tab w:val="left" w:pos="1208" w:leader="none"/>
      </w:tabs>
    </w:pPr>
    <w:rPr>
      <w:sz w:val="28"/>
      <w:szCs w:val="20"/>
    </w:rPr>
  </w:style>
  <w:style w:type="paragraph" w:styleId="965" w:customStyle="1">
    <w:name w:val="Номер1"/>
    <w:basedOn w:val="967"/>
    <w:pPr>
      <w:numPr>
        <w:ilvl w:val="1"/>
        <w:numId w:val="4"/>
      </w:numPr>
      <w:jc w:val="both"/>
      <w:spacing w:before="40" w:after="40"/>
    </w:pPr>
    <w:rPr>
      <w:sz w:val="28"/>
      <w:szCs w:val="20"/>
    </w:rPr>
  </w:style>
  <w:style w:type="paragraph" w:styleId="966" w:customStyle="1">
    <w:name w:val="Номер2"/>
    <w:basedOn w:val="946"/>
    <w:pPr>
      <w:numPr>
        <w:ilvl w:val="2"/>
        <w:numId w:val="4"/>
      </w:numPr>
      <w:jc w:val="both"/>
      <w:spacing w:before="40" w:after="40"/>
      <w:tabs>
        <w:tab w:val="left" w:pos="851" w:leader="none"/>
      </w:tabs>
    </w:pPr>
    <w:rPr>
      <w:sz w:val="28"/>
      <w:szCs w:val="20"/>
    </w:rPr>
  </w:style>
  <w:style w:type="paragraph" w:styleId="967">
    <w:name w:val="List"/>
    <w:basedOn w:val="946"/>
    <w:semiHidden/>
    <w:pPr>
      <w:ind w:left="283" w:hanging="283"/>
    </w:pPr>
  </w:style>
  <w:style w:type="paragraph" w:styleId="968" w:customStyle="1">
    <w:name w:val="Список2"/>
    <w:basedOn w:val="967"/>
    <w:pPr>
      <w:numPr>
        <w:ilvl w:val="0"/>
        <w:numId w:val="7"/>
      </w:numPr>
      <w:jc w:val="both"/>
      <w:spacing w:before="40" w:after="40"/>
      <w:tabs>
        <w:tab w:val="left" w:pos="851" w:leader="none"/>
      </w:tabs>
    </w:pPr>
    <w:rPr>
      <w:sz w:val="28"/>
      <w:szCs w:val="20"/>
    </w:rPr>
  </w:style>
  <w:style w:type="character" w:styleId="969" w:customStyle="1">
    <w:name w:val="Список2 Знак"/>
    <w:basedOn w:val="949"/>
    <w:rPr>
      <w:sz w:val="28"/>
      <w:lang w:val="ru-RU" w:eastAsia="ru-RU" w:bidi="ar-SA"/>
    </w:rPr>
  </w:style>
  <w:style w:type="paragraph" w:styleId="970" w:customStyle="1">
    <w:name w:val="ConsPlusNormal"/>
    <w:rPr>
      <w:rFonts w:ascii="Arial" w:hAnsi="Arial" w:cs="Arial"/>
    </w:rPr>
  </w:style>
  <w:style w:type="paragraph" w:styleId="971">
    <w:name w:val="Balloon Text"/>
    <w:basedOn w:val="946"/>
    <w:link w:val="972"/>
    <w:uiPriority w:val="99"/>
    <w:semiHidden/>
    <w:unhideWhenUsed/>
    <w:rPr>
      <w:rFonts w:ascii="Tahoma" w:hAnsi="Tahoma" w:cs="Tahoma"/>
      <w:sz w:val="16"/>
      <w:szCs w:val="16"/>
    </w:rPr>
  </w:style>
  <w:style w:type="character" w:styleId="972" w:customStyle="1">
    <w:name w:val="Текст выноски Знак"/>
    <w:basedOn w:val="949"/>
    <w:link w:val="971"/>
    <w:uiPriority w:val="99"/>
    <w:semiHidden/>
    <w:rPr>
      <w:rFonts w:ascii="Tahoma" w:hAnsi="Tahoma" w:cs="Tahoma"/>
      <w:sz w:val="16"/>
      <w:szCs w:val="16"/>
    </w:rPr>
  </w:style>
  <w:style w:type="paragraph" w:styleId="973">
    <w:name w:val="List Paragraph"/>
    <w:basedOn w:val="946"/>
    <w:uiPriority w:val="34"/>
    <w:qFormat/>
    <w:pPr>
      <w:contextualSpacing/>
      <w:ind w:left="720"/>
    </w:pPr>
  </w:style>
  <w:style w:type="paragraph" w:styleId="974">
    <w:name w:val="Body Text"/>
    <w:basedOn w:val="946"/>
    <w:link w:val="975"/>
    <w:uiPriority w:val="99"/>
    <w:unhideWhenUsed/>
    <w:pPr>
      <w:spacing w:after="120"/>
    </w:pPr>
  </w:style>
  <w:style w:type="character" w:styleId="975" w:customStyle="1">
    <w:name w:val="Основной текст Знак"/>
    <w:basedOn w:val="949"/>
    <w:link w:val="974"/>
    <w:uiPriority w:val="99"/>
    <w:rPr>
      <w:sz w:val="24"/>
      <w:szCs w:val="24"/>
    </w:rPr>
  </w:style>
  <w:style w:type="character" w:styleId="976" w:customStyle="1">
    <w:name w:val="Верхний колонтитул Знак"/>
    <w:basedOn w:val="949"/>
    <w:link w:val="960"/>
    <w:uiPriority w:val="99"/>
    <w:rPr>
      <w:b/>
      <w:caps/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image" Target="media/image1.png"/><Relationship Id="rId16" Type="http://schemas.openxmlformats.org/officeDocument/2006/relationships/hyperlink" Target="consultantplus://offline/ref=3883B2D62FB62D3063BCF09EE6EC20C2F12AA6BFA1F54E9A65B74D68F5D629FCW7w1F" TargetMode="External"/><Relationship Id="rId17" Type="http://schemas.openxmlformats.org/officeDocument/2006/relationships/hyperlink" Target="https://login.consultant.ru/link/?req=doc&amp;base=RLAW091&amp;n=182108&amp;dst=100283" TargetMode="External"/><Relationship Id="rId18" Type="http://schemas.openxmlformats.org/officeDocument/2006/relationships/hyperlink" Target="https://login.consultant.ru/link/?req=doc&amp;base=RLAW091&amp;n=182108&amp;dst=100284" TargetMode="External"/><Relationship Id="rId19" Type="http://schemas.openxmlformats.org/officeDocument/2006/relationships/hyperlink" Target="https://login.consultant.ru/link/?req=doc&amp;base=RLAW091&amp;n=182108&amp;dst=100293" TargetMode="External"/><Relationship Id="rId20" Type="http://schemas.openxmlformats.org/officeDocument/2006/relationships/hyperlink" Target="https://login.consultant.ru/link/?req=doc&amp;base=RLAW091&amp;n=145243&amp;dst=100167" TargetMode="External"/><Relationship Id="rId21" Type="http://schemas.openxmlformats.org/officeDocument/2006/relationships/hyperlink" Target="https://login.consultant.ru/link/?req=doc&amp;base=RLAW091&amp;n=159359&amp;dst=100076" TargetMode="External"/><Relationship Id="rId22" Type="http://schemas.openxmlformats.org/officeDocument/2006/relationships/image" Target="media/image2.png"/><Relationship Id="rId23" Type="http://schemas.openxmlformats.org/officeDocument/2006/relationships/hyperlink" Target="consultantplus://offline/ref=3CE17F7FEA575445A041AF798A6C247E3A3089CF302BB0CF7D2F6A47729422EF039B23902D29493F86513F43AEFD19E49FQ8Y4D" TargetMode="External"/><Relationship Id="rId24" Type="http://schemas.openxmlformats.org/officeDocument/2006/relationships/hyperlink" Target="consultantplus://offline/ref=3CE17F7FEA575445A041AF798A6C247E3A3089CF302BB0CF7D2F6A47729422EF039B23902D29493F86513F43AEFD19E49FQ8Y4D" TargetMode="External"/><Relationship Id="rId25" Type="http://schemas.openxmlformats.org/officeDocument/2006/relationships/hyperlink" Target="consultantplus://offline/ref=3CE17F7FEA575445A041B1749C007A7A3F3BD5C0392DBD9B287D6C102DC424BA43DB25C57C6F153B8E5C7512E9B616E49B99274669E85D99Q0YBD" TargetMode="External"/><Relationship Id="rId26" Type="http://schemas.openxmlformats.org/officeDocument/2006/relationships/hyperlink" Target="consultantplus://offline/ref=3CE17F7FEA575445A041B1749C007A7A3F3BD5C0392DBD9B287D6C102DC424BA43DB25C27C651539D2066516A0E31DFA9D84394777E8Q5YED" TargetMode="External"/><Relationship Id="rId27" Type="http://schemas.openxmlformats.org/officeDocument/2006/relationships/hyperlink" Target="consultantplus://offline/ref=3CE17F7FEA575445A041AF798A6C247E3A3089CF3028B7CA75296A47729422EF039B23903F29113386572141AEE84FB5D9D22A4571F45D981624A4C5Q6Y6D" TargetMode="External"/><Relationship Id="rId28" Type="http://schemas.openxmlformats.org/officeDocument/2006/relationships/hyperlink" Target="consultantplus://offline/ref=3CE17F7FEA575445A041AF798A6C247E3A3089CF3028B7CA75296A47729422EF039B23903F2911338D037007F8EE1BE28387245B75EA5FQ9Y8D" TargetMode="External"/><Relationship Id="rId29" Type="http://schemas.openxmlformats.org/officeDocument/2006/relationships/hyperlink" Target="consultantplus://offline/ref=3CE17F7FEA575445A041AF798A6C247E3A3089CF3028B7CA75296A47729422EF039B23903F29113386572140A5E84FB5D9D22A4571F45D981624A4C5Q6Y6D" TargetMode="External"/><Relationship Id="rId30" Type="http://schemas.openxmlformats.org/officeDocument/2006/relationships/hyperlink" Target="consultantplus://offline/ref=3CE17F7FEA575445A041AF798A6C247E3A3089CF3028B7CA74296A47729422EF039B23902D29493F86513F43AEFD19E49FQ8Y4D" TargetMode="External"/><Relationship Id="rId31" Type="http://schemas.openxmlformats.org/officeDocument/2006/relationships/hyperlink" Target="consultantplus://offline/ref=3CE17F7FEA575445A041B1749C007A7A393BD5C23128BD9B287D6C102DC424BA51DB7DC97C6B023285492343AFQEY0D" TargetMode="External"/><Relationship Id="rId32" Type="http://schemas.openxmlformats.org/officeDocument/2006/relationships/hyperlink" Target="consultantplus://offline/ref=3CE17F7FEA575445A041AF798A6C247E3A3089CF302AB4CA722B6A47729422EF039B23902D29493F86513F43AEFD19E49FQ8Y4D" TargetMode="External"/><Relationship Id="rId33" Type="http://schemas.openxmlformats.org/officeDocument/2006/relationships/hyperlink" Target="consultantplus://offline/ref=23521C03C67AC24A6AB56EFD2D85E950F51C9BA8A8BDB383579D16AA9FEB1670ED47A1116E7522869E7CCBD9A47EA3CBB7D67BF1706CRCY7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4CB896-130E-47EF-969B-F1E5098D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revision>21</cp:revision>
  <dcterms:created xsi:type="dcterms:W3CDTF">2024-12-09T09:54:00Z</dcterms:created>
  <dcterms:modified xsi:type="dcterms:W3CDTF">2025-01-14T02:20:28Z</dcterms:modified>
</cp:coreProperties>
</file>