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6DF" w:rsidRDefault="00EB0324">
      <w:r>
        <w:t xml:space="preserve">  </w:t>
      </w:r>
    </w:p>
    <w:tbl>
      <w:tblPr>
        <w:tblW w:w="10768" w:type="dxa"/>
        <w:tblCellMar>
          <w:left w:w="0" w:type="dxa"/>
          <w:right w:w="0" w:type="dxa"/>
        </w:tblCellMar>
        <w:tblLook w:val="0000"/>
      </w:tblPr>
      <w:tblGrid>
        <w:gridCol w:w="4708"/>
        <w:gridCol w:w="5606"/>
        <w:gridCol w:w="218"/>
        <w:gridCol w:w="236"/>
      </w:tblGrid>
      <w:tr w:rsidR="00A616DF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6DF" w:rsidRDefault="00EB0324">
            <w:pPr>
              <w:ind w:right="-108"/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A616DF" w:rsidRDefault="00A616DF">
            <w:pPr>
              <w:ind w:right="-108"/>
              <w:jc w:val="center"/>
              <w:rPr>
                <w:rFonts w:ascii="PT Astra Serif" w:hAnsi="PT Astra Serif"/>
                <w:sz w:val="30"/>
                <w:szCs w:val="30"/>
              </w:rPr>
            </w:pPr>
          </w:p>
          <w:p w:rsidR="00A616DF" w:rsidRDefault="00EB0324">
            <w:pPr>
              <w:keepNext/>
              <w:ind w:right="-108"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p w:rsidR="00A616DF" w:rsidRDefault="00A616DF">
            <w:pPr>
              <w:pStyle w:val="Heading4"/>
              <w:ind w:right="-108"/>
              <w:jc w:val="left"/>
              <w:rPr>
                <w:rFonts w:asciiTheme="minorHAnsi" w:hAnsiTheme="minorHAnsi"/>
                <w:sz w:val="30"/>
                <w:szCs w:val="30"/>
              </w:rPr>
            </w:pPr>
          </w:p>
        </w:tc>
        <w:tc>
          <w:tcPr>
            <w:tcW w:w="4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A616DF" w:rsidRDefault="00EB032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 </w:t>
            </w:r>
          </w:p>
        </w:tc>
      </w:tr>
      <w:tr w:rsidR="00A616DF"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6DF" w:rsidRDefault="00EB0324">
            <w:pPr>
              <w:ind w:right="56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</w:t>
            </w:r>
          </w:p>
        </w:tc>
        <w:tc>
          <w:tcPr>
            <w:tcW w:w="56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6DF" w:rsidRDefault="00EB0324">
            <w:pPr>
              <w:ind w:right="-249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                                   №_________ </w:t>
            </w:r>
          </w:p>
        </w:tc>
        <w:tc>
          <w:tcPr>
            <w:tcW w:w="4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A616DF" w:rsidRDefault="00EB03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A616DF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6DF" w:rsidRDefault="00A616DF">
            <w:pPr>
              <w:ind w:right="566"/>
              <w:jc w:val="center"/>
              <w:rPr>
                <w:rFonts w:ascii="PT Astra Serif" w:hAnsi="PT Astra Serif"/>
                <w:sz w:val="36"/>
                <w:szCs w:val="48"/>
              </w:rPr>
            </w:pPr>
          </w:p>
        </w:tc>
        <w:tc>
          <w:tcPr>
            <w:tcW w:w="4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A616DF" w:rsidRDefault="00EB032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A616DF">
        <w:trPr>
          <w:cantSplit/>
          <w:trHeight w:val="850"/>
        </w:trPr>
        <w:tc>
          <w:tcPr>
            <w:tcW w:w="1053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6DF" w:rsidRDefault="00A616DF"/>
          <w:p w:rsidR="00A616DF" w:rsidRDefault="00EB0324">
            <w:pPr>
              <w:widowControl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Об утверждении условий эмиссии и обращения облигаций</w:t>
            </w:r>
          </w:p>
          <w:p w:rsidR="00A616DF" w:rsidRDefault="00EB0324">
            <w:pPr>
              <w:widowControl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биржевого внутреннего займа Томской области 2025 года</w:t>
            </w:r>
          </w:p>
          <w:p w:rsidR="00A616DF" w:rsidRDefault="00EB0324">
            <w:pPr>
              <w:widowControl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с переменным купонным доходом и амортизацией долга</w:t>
            </w:r>
          </w:p>
          <w:p w:rsidR="00A616DF" w:rsidRDefault="00A616DF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616DF" w:rsidRDefault="00A616DF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616DF" w:rsidRDefault="00EB0324">
            <w:pPr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соответствии со статьей</w:t>
            </w:r>
            <w:r>
              <w:rPr>
                <w:rFonts w:ascii="PT Astra Serif" w:hAnsi="PT Astra Serif"/>
                <w:sz w:val="26"/>
                <w:szCs w:val="26"/>
                <w:vertAlign w:val="superscript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121.6 Бюджетного кодекса Российской Федерации, Генеральными </w:t>
            </w:r>
            <w:hyperlink r:id="rId8" w:tooltip="consultantplus://offline/ref=D523E86BA2935134C04978F4A5A7A36278CB6038695CAE4F6FAE2C82C3978C9DE5BB2B67819AD8DD788CB1A1gFF" w:history="1">
              <w:r>
                <w:rPr>
                  <w:rFonts w:ascii="PT Astra Serif" w:hAnsi="PT Astra Serif"/>
                  <w:sz w:val="26"/>
                  <w:szCs w:val="26"/>
                </w:rPr>
                <w:t>условиями</w:t>
              </w:r>
            </w:hyperlink>
            <w:r>
              <w:rPr>
                <w:rFonts w:ascii="PT Astra Serif" w:hAnsi="PT Astra Serif"/>
                <w:sz w:val="26"/>
                <w:szCs w:val="26"/>
              </w:rPr>
              <w:t xml:space="preserve"> эмиссии и обращения облигаций биржевого внутреннего займа Томской области, утвержденными постановлением Администрации Томской области от 26.04.2012 № 161а «О выпуске облигаций биржевого внутреннего займа»,</w:t>
            </w:r>
          </w:p>
          <w:p w:rsidR="00A616DF" w:rsidRDefault="00EB0324">
            <w:pPr>
              <w:pStyle w:val="ConsPlusNormal"/>
              <w:ind w:right="-141"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ПРИКАЗЫВАЮ:</w:t>
            </w:r>
          </w:p>
          <w:p w:rsidR="00A616DF" w:rsidRDefault="00EB0324">
            <w:pPr>
              <w:pStyle w:val="ConsPlusNormal"/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1. Утвердить прилагаемые </w:t>
            </w:r>
            <w:hyperlink w:anchor="P31" w:tooltip="#P31" w:history="1">
              <w:r>
                <w:rPr>
                  <w:rFonts w:ascii="PT Astra Serif" w:hAnsi="PT Astra Serif"/>
                  <w:sz w:val="26"/>
                  <w:szCs w:val="26"/>
                </w:rPr>
                <w:t>условия</w:t>
              </w:r>
            </w:hyperlink>
            <w:r>
              <w:rPr>
                <w:rFonts w:ascii="PT Astra Serif" w:hAnsi="PT Astra Serif"/>
                <w:sz w:val="26"/>
                <w:szCs w:val="26"/>
              </w:rPr>
              <w:t xml:space="preserve"> эмиссии и обращения облигаций биржевого внутреннего займа Томской области 2025 года с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переменным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купонным доходом и амортизацией долга.</w:t>
            </w:r>
          </w:p>
          <w:p w:rsidR="00A616DF" w:rsidRDefault="00EB0324">
            <w:pPr>
              <w:pStyle w:val="ConsPlusNormal"/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 Настоящий приказ вступает в силу со дня его официального опубликования.</w:t>
            </w:r>
          </w:p>
          <w:p w:rsidR="00A616DF" w:rsidRDefault="00EB0324">
            <w:pP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3.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Контроль за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исполнением настоящего приказа возложить на заместителя начальника Департамента финансов Томской области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Сидонскую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Я.В.</w:t>
            </w:r>
            <w:bookmarkStart w:id="0" w:name="_GoBack"/>
            <w:bookmarkEnd w:id="0"/>
          </w:p>
          <w:p w:rsidR="00A616DF" w:rsidRDefault="00A616DF">
            <w:pPr>
              <w:pStyle w:val="ConsPlusTitle"/>
              <w:widowControl/>
              <w:ind w:firstLine="709"/>
              <w:jc w:val="both"/>
              <w:rPr>
                <w:rFonts w:ascii="PT Astra Serif" w:hAnsi="PT Astra Serif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6DF" w:rsidRDefault="00A616DF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A616DF" w:rsidRDefault="00A616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A616DF" w:rsidRDefault="00EB0324">
      <w:pPr>
        <w:pStyle w:val="af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A616DF" w:rsidRDefault="00EB0324">
      <w:pPr>
        <w:pStyle w:val="af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A616DF" w:rsidRDefault="00EB0324">
      <w:pPr>
        <w:rPr>
          <w:rFonts w:ascii="PT Astra Serif" w:hAnsi="PT Astra Serif"/>
          <w:sz w:val="26"/>
          <w:szCs w:val="26"/>
        </w:rPr>
        <w:sectPr w:rsidR="00A616DF">
          <w:headerReference w:type="default" r:id="rId9"/>
          <w:footerReference w:type="default" r:id="rId10"/>
          <w:headerReference w:type="first" r:id="rId11"/>
          <w:pgSz w:w="11906" w:h="16838"/>
          <w:pgMar w:top="1134" w:right="567" w:bottom="1134" w:left="1134" w:header="567" w:footer="709" w:gutter="0"/>
          <w:pgNumType w:start="0"/>
          <w:cols w:space="708"/>
          <w:titlePg/>
          <w:docGrid w:linePitch="360"/>
        </w:sectPr>
      </w:pPr>
      <w:r>
        <w:rPr>
          <w:rFonts w:ascii="PT Astra Serif" w:hAnsi="PT Astra Serif"/>
          <w:sz w:val="26"/>
          <w:szCs w:val="26"/>
        </w:rPr>
        <w:t>Томской области                                                                                                     А.М. Феденёв</w:t>
      </w:r>
    </w:p>
    <w:p w:rsidR="00A616DF" w:rsidRDefault="007C1084">
      <w:pPr>
        <w:ind w:left="609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pict>
          <v:rect id="shape 1" o:spid="_x0000_s1027" style="position:absolute;left:0;text-align:left;margin-left:244.45pt;margin-top:-29.15pt;width:21.9pt;height:15.65pt;z-index:251658240;visibility:visible;mso-wrap-distance-left:9pt;mso-wrap-distance-top:0;mso-wrap-distance-right:9pt;mso-wrap-distance-bottom:0;mso-position-horizontal:absolute;mso-position-horizontal-relative:text;mso-position-vertical:absolute;mso-position-vertical-relative:text;o:allowoverlap:true; o:allowincell:true" stroked="f"/>
        </w:pict>
      </w: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A616DF">
      <w:pPr>
        <w:ind w:left="6096"/>
        <w:rPr>
          <w:rFonts w:ascii="PT Astra Serif" w:hAnsi="PT Astra Serif"/>
          <w:sz w:val="26"/>
          <w:szCs w:val="26"/>
        </w:rPr>
      </w:pPr>
    </w:p>
    <w:p w:rsidR="00A616DF" w:rsidRDefault="007C1084">
      <w:pPr>
        <w:ind w:left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pict>
          <v:rect id="shape 2" o:spid="_x0000_s1026" style="position:absolute;left:0;text-align:left;margin-left:236.95pt;margin-top:-33.95pt;width:40.7pt;height:25.7pt;z-index:251659264;visibility:visible;mso-wrap-distance-left:9pt;mso-wrap-distance-top:0;mso-wrap-distance-right:9pt;mso-wrap-distance-bottom:0;mso-position-horizontal:absolute;mso-position-horizontal-relative:text;mso-position-vertical:absolute;mso-position-vertical-relative:text;o:allowoverlap:true; o:allowincell:true" stroked="f"/>
        </w:pict>
      </w:r>
      <w:r w:rsidR="00EB0324">
        <w:rPr>
          <w:rFonts w:ascii="PT Astra Serif" w:hAnsi="PT Astra Serif"/>
          <w:sz w:val="26"/>
          <w:szCs w:val="26"/>
        </w:rPr>
        <w:t>УТВЕРЖДЕНЫ</w:t>
      </w:r>
    </w:p>
    <w:p w:rsidR="00A616DF" w:rsidRDefault="00EB0324">
      <w:pPr>
        <w:ind w:left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приказом Департамента финансов</w:t>
      </w:r>
    </w:p>
    <w:p w:rsidR="00A616DF" w:rsidRDefault="00EB0324">
      <w:pPr>
        <w:ind w:left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</w:p>
    <w:p w:rsidR="00A616DF" w:rsidRDefault="00EB0324">
      <w:pPr>
        <w:ind w:left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 № ___________</w:t>
      </w:r>
    </w:p>
    <w:p w:rsidR="00A616DF" w:rsidRDefault="00A616DF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A616DF" w:rsidRDefault="00A616DF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A616DF" w:rsidRDefault="00EB032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УСЛОВИЯ</w:t>
      </w:r>
    </w:p>
    <w:p w:rsidR="00A616DF" w:rsidRDefault="00EB0324">
      <w:pPr>
        <w:widowControl w:val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эмиссии и обращения облигаций биржевого внутреннего займа Томской области 2025 года</w:t>
      </w:r>
    </w:p>
    <w:p w:rsidR="00A616DF" w:rsidRDefault="00EB0324">
      <w:pPr>
        <w:widowControl w:val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с переменным купонным доходом и амортизацией долга</w:t>
      </w:r>
    </w:p>
    <w:p w:rsidR="00A616DF" w:rsidRDefault="00A616DF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A616DF" w:rsidRDefault="00EB0324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Общие положения</w:t>
      </w:r>
    </w:p>
    <w:p w:rsidR="00A616DF" w:rsidRDefault="00A616D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>
        <w:rPr>
          <w:rFonts w:ascii="PT Astra Serif" w:hAnsi="PT Astra Serif"/>
          <w:sz w:val="26"/>
          <w:szCs w:val="26"/>
        </w:rPr>
        <w:t xml:space="preserve">Настоящие Условия эмиссии и обращения облигаций биржевого внутреннего займа Томской области 2025 года с переменным купонным доходом и амортизацией долга (далее – Условия эмиссии) приняты в соответствии с Генеральными </w:t>
      </w:r>
      <w:hyperlink r:id="rId12" w:tooltip="consultantplus://offline/ref=D523E86BA2935134C04978F4A5A7A36278CB6038695CAE4F6FAE2C82C3978C9DE5BB2B67819AD8DD788CB1A1gFF" w:history="1">
        <w:r>
          <w:rPr>
            <w:rFonts w:ascii="PT Astra Serif" w:hAnsi="PT Astra Serif"/>
            <w:sz w:val="26"/>
            <w:szCs w:val="26"/>
          </w:rPr>
          <w:t>условиями</w:t>
        </w:r>
      </w:hyperlink>
      <w:r>
        <w:rPr>
          <w:rFonts w:ascii="PT Astra Serif" w:hAnsi="PT Astra Serif"/>
          <w:sz w:val="26"/>
          <w:szCs w:val="26"/>
        </w:rPr>
        <w:t xml:space="preserve"> эмиссии и обращения облигаций биржевого внутреннего займа Томской области, утвержденными постановлением Администрации Томской области от 26.04.2012 № 161а «О выпуске облигаций биржевого внутреннего займа» (далее - Генеральные условия), и определяют порядок эмиссии, обращения</w:t>
      </w:r>
      <w:proofErr w:type="gramEnd"/>
      <w:r>
        <w:rPr>
          <w:rFonts w:ascii="PT Astra Serif" w:hAnsi="PT Astra Serif"/>
          <w:sz w:val="26"/>
          <w:szCs w:val="26"/>
        </w:rPr>
        <w:t xml:space="preserve"> и погашения облигаций биржевого внутреннего займа Томской области 2025 года с переменным купонным доходом и амортизацией долга (далее - Облигации).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Эмитентом Облигаций от имени Томской области выступает Департамент финансов Томской области (далее - Эмитент).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Юридический и почтовый адрес Эмитента: 634050, г. Томск, пр. Ленина, </w:t>
      </w:r>
      <w:r>
        <w:rPr>
          <w:rFonts w:ascii="PT Astra Serif" w:hAnsi="PT Astra Serif"/>
          <w:sz w:val="26"/>
          <w:szCs w:val="26"/>
        </w:rPr>
        <w:br/>
        <w:t>д. 111.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Мероприятия, необходимые для осуществления эмиссии, обращения и погашения Облигаций, проводит Эмитент. </w:t>
      </w:r>
    </w:p>
    <w:p w:rsidR="00A616DF" w:rsidRDefault="00EB032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Генеральным агентом Эмитента выступает профессиональный участник рынка ценных бумаг, </w:t>
      </w:r>
      <w:r>
        <w:rPr>
          <w:rFonts w:ascii="PT Astra Serif" w:hAnsi="PT Astra Serif" w:cs="PT Astra Serif"/>
          <w:sz w:val="26"/>
          <w:szCs w:val="26"/>
        </w:rPr>
        <w:t>определенный в соответствии с законодательством Российской Федерации и заключивший с Эмитентом государственный контракт (</w:t>
      </w:r>
      <w:r>
        <w:rPr>
          <w:rFonts w:ascii="PT Astra Serif" w:hAnsi="PT Astra Serif"/>
          <w:sz w:val="26"/>
          <w:szCs w:val="26"/>
        </w:rPr>
        <w:t>далее - Генеральный агент).</w:t>
      </w:r>
    </w:p>
    <w:p w:rsidR="00A616DF" w:rsidRDefault="00EB032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Уполномоченным депозитарием выступает профессиональный участник рынка ценных бумаг, </w:t>
      </w:r>
      <w:r>
        <w:rPr>
          <w:rFonts w:ascii="PT Astra Serif" w:hAnsi="PT Astra Serif" w:cs="PT Astra Serif"/>
          <w:sz w:val="26"/>
          <w:szCs w:val="26"/>
        </w:rPr>
        <w:t>осуществляющий на основании соответствующей лицензии обязательное централизованное хранение глобального сертификата Облигаций, определенный в соответствии с законодательством Российской Федерации и заключивший с Эмитентом государственный контракт</w:t>
      </w:r>
      <w:r>
        <w:rPr>
          <w:rFonts w:ascii="PT Astra Serif" w:hAnsi="PT Astra Serif"/>
          <w:sz w:val="26"/>
          <w:szCs w:val="26"/>
        </w:rPr>
        <w:t xml:space="preserve"> (далее - Уполномоченный депозитарий). 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Организатором торговли выступает лицо, оказывающее услуги по проведению организованных торгов на финансовом рынке на основании лицензии биржи, </w:t>
      </w:r>
      <w:r>
        <w:rPr>
          <w:rFonts w:ascii="PT Astra Serif" w:hAnsi="PT Astra Serif" w:cs="PT Astra Serif"/>
          <w:sz w:val="26"/>
          <w:szCs w:val="26"/>
        </w:rPr>
        <w:t xml:space="preserve">определенное в соответствии с законодательством Российской Федерации и </w:t>
      </w:r>
      <w:proofErr w:type="gramStart"/>
      <w:r>
        <w:rPr>
          <w:rFonts w:ascii="PT Astra Serif" w:hAnsi="PT Astra Serif" w:cs="PT Astra Serif"/>
          <w:sz w:val="26"/>
          <w:szCs w:val="26"/>
        </w:rPr>
        <w:t>заключивший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с Эмитентом государственный контракт</w:t>
      </w:r>
      <w:r>
        <w:rPr>
          <w:rFonts w:ascii="PT Astra Serif" w:hAnsi="PT Astra Serif"/>
          <w:sz w:val="26"/>
          <w:szCs w:val="26"/>
        </w:rPr>
        <w:t xml:space="preserve"> (далее - Организатор торговли).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Данные о Генеральном агенте, Уполномоченном депозитарии и Организаторе торговли раскрываются в решениях об эмиссии Облигаций (далее - Решение об эмиссии).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Облигации являются государственными ценными бумагами с переменным купонным доходом и амортизацией долга и выпускаются в форме именных документарных ценных бумаг с обязательным централизованным хранением (учетом) Глобального сертификата Облигаций.</w:t>
      </w:r>
    </w:p>
    <w:p w:rsidR="00A616DF" w:rsidRDefault="00EB032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Облигации предоставляют их владельцам право на получение номинальной стоимости Облигаций, </w:t>
      </w:r>
      <w:r>
        <w:rPr>
          <w:rFonts w:ascii="PT Astra Serif" w:hAnsi="PT Astra Serif" w:cs="PT Astra Serif"/>
          <w:sz w:val="26"/>
          <w:szCs w:val="26"/>
        </w:rPr>
        <w:t>выплачиваемой частями в размер</w:t>
      </w:r>
      <w:r w:rsidR="00886AC1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 xml:space="preserve"> и в </w:t>
      </w:r>
      <w:r w:rsidR="00886AC1">
        <w:rPr>
          <w:rFonts w:ascii="PT Astra Serif" w:hAnsi="PT Astra Serif" w:cs="PT Astra Serif"/>
          <w:sz w:val="26"/>
          <w:szCs w:val="26"/>
        </w:rPr>
        <w:t>даты</w:t>
      </w:r>
      <w:r>
        <w:rPr>
          <w:rFonts w:ascii="PT Astra Serif" w:hAnsi="PT Astra Serif"/>
          <w:sz w:val="26"/>
          <w:szCs w:val="26"/>
        </w:rPr>
        <w:t xml:space="preserve">, установленные </w:t>
      </w:r>
      <w:r>
        <w:rPr>
          <w:rFonts w:ascii="PT Astra Serif" w:hAnsi="PT Astra Serif"/>
          <w:sz w:val="26"/>
          <w:szCs w:val="26"/>
        </w:rPr>
        <w:lastRenderedPageBreak/>
        <w:t>Решением об эмиссии, и право на получение купонного дохода</w:t>
      </w:r>
      <w:r w:rsidR="00886AC1">
        <w:rPr>
          <w:rFonts w:ascii="PT Astra Serif" w:hAnsi="PT Astra Serif"/>
          <w:sz w:val="26"/>
          <w:szCs w:val="26"/>
        </w:rPr>
        <w:t>, начисляемого на непогашенную часть номинальной стоимости Облигаций</w:t>
      </w:r>
      <w:r>
        <w:rPr>
          <w:rFonts w:ascii="PT Astra Serif" w:hAnsi="PT Astra Serif"/>
          <w:sz w:val="26"/>
          <w:szCs w:val="26"/>
        </w:rPr>
        <w:t>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Владельцы Облигаций имеют право владеть, пользоваться и распоряжаться принадлежащими им Облигациями в соответствии с законодательством Российской Федерации.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Владельцы Облигаций имеют право совершать с Облигациями гражданско-правовые сделки в соответствии с законодательством Российской Федерации, Генеральными </w:t>
      </w:r>
      <w:hyperlink r:id="rId13" w:tooltip="consultantplus://offline/ref=D523E86BA2935134C04978F4A5A7A36278CB6038695CAE4F6FAE2C82C3978C9DE5BB2B67819AD8DD788CB6A1gFF" w:history="1">
        <w:r>
          <w:rPr>
            <w:rFonts w:ascii="PT Astra Serif" w:hAnsi="PT Astra Serif"/>
            <w:sz w:val="26"/>
            <w:szCs w:val="26"/>
          </w:rPr>
          <w:t>условиями</w:t>
        </w:r>
      </w:hyperlink>
      <w:r>
        <w:rPr>
          <w:rFonts w:ascii="PT Astra Serif" w:hAnsi="PT Astra Serif"/>
          <w:sz w:val="26"/>
          <w:szCs w:val="26"/>
        </w:rPr>
        <w:t>, настоящими Условиями эмиссии и Решениями об эмиссии.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Права владельцев Облигаций при соблюдении ими установленного законодательством Российской Федерации порядка осуществления этих прав обеспечиваются Эмитентом.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Эмиссия Облигаций осуществляется выпусками. Облигации в рамках одного выпуска равны между собой по объему предоставляемых ими прав.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Выпуск Облигаций, отличающийся от одного из существующих выпусков Облигаций только датой выпуска (датой размещения), признается частью существующего выпуска Облигаций (дополнительный выпуск Облигаций), и ему присваивается государственный регистрационный номер существующего выпуска. Решение об эмиссии дополнительного выпуска Облигаций должно содержать указание на то, что данный выпуск Облигаций является дополнительным.</w:t>
      </w:r>
    </w:p>
    <w:p w:rsidR="00A616DF" w:rsidRDefault="00EB0324">
      <w:pP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Облигации дополнительного выпуска предоставляют их владельцам тот же объем прав, что и Облигации выпуска, регистрационный номер которого присваивается дополнительному выпуску.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В соответствии с настоящими Условиями эмиссии выпуски Облигаций могут иметь разные сроки обращения от 1 (одного) года до 10 (десяти) лет включительно.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Срок обращения выпуска Облигаций устанавливается в Решении об эмиссии.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Номинальная стоимость Облигации выражается в валюте Российской Федерации и составляет 1000 (одну тысячу) рублей.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 Каждый выпуск Облигаций оформляется одним Глобальным сертификатом, который удостоверяет совокупность прав на Облигации, указанные в нем, и передается на хранение (учет) Уполномоченному депозитарию.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Глобальный сертификат на руки владельцам Облигаций не выдается. Право собственности на Облигации переходит в момент осуществления приходной записи по счету депо приобретателя.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Учет и удостоверение прав на Облигации, учет и удостоверение передачи Облигаций, включая случаи обременения Облигаций обязательствами, осуществляется Уполномоченным депозитарием, осуществляющим централизованное хранение Глобального сертификата, и иными депозитариями, осуществляющими учет прав на Облигации, за исключением Уполномоченного депозитария (далее – Депозитарии).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Удостоверением права владельца на Облигации является выписка со счета депо в Уполномоченном депозитарии или Депозитариях.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 На основании Генеральных </w:t>
      </w:r>
      <w:hyperlink r:id="rId14" w:tooltip="consultantplus://offline/ref=D523E86BA2935134C04978F4A5A7A36278CB6038695CAE4F6FAE2C82C3978C9DE5BB2B67819AD8DD788CB6A1gFF" w:history="1">
        <w:r>
          <w:rPr>
            <w:rFonts w:ascii="PT Astra Serif" w:hAnsi="PT Astra Serif"/>
            <w:sz w:val="26"/>
            <w:szCs w:val="26"/>
          </w:rPr>
          <w:t>условий</w:t>
        </w:r>
      </w:hyperlink>
      <w:r>
        <w:rPr>
          <w:rFonts w:ascii="PT Astra Serif" w:hAnsi="PT Astra Serif"/>
          <w:sz w:val="26"/>
          <w:szCs w:val="26"/>
        </w:rPr>
        <w:t xml:space="preserve"> и настоящих Условий эмиссии Эмитентом утверждается Решение об эмиссии каждого отдельного выпуска Облигаций, предусматривающ</w:t>
      </w:r>
      <w:r w:rsidR="006400F1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>е конкретные условия, необходимые в соответствии с законодательством Российской Федерации для эмиссии отдельного выпуска Облигаций.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Вопросы эмиссии, обращения и погашения Облигаций, не урегулированные Генеральными </w:t>
      </w:r>
      <w:hyperlink r:id="rId15" w:tooltip="consultantplus://offline/ref=D523E86BA2935134C04978F4A5A7A36278CB6038695CAE4F6FAE2C82C3978C9DE5BB2B67819AD8DD788CB6A1gFF" w:history="1">
        <w:r>
          <w:rPr>
            <w:rFonts w:ascii="PT Astra Serif" w:hAnsi="PT Astra Serif"/>
            <w:sz w:val="26"/>
            <w:szCs w:val="26"/>
          </w:rPr>
          <w:t>условиями</w:t>
        </w:r>
      </w:hyperlink>
      <w:r>
        <w:rPr>
          <w:rFonts w:ascii="PT Astra Serif" w:hAnsi="PT Astra Serif"/>
          <w:sz w:val="26"/>
          <w:szCs w:val="26"/>
        </w:rPr>
        <w:t>, настоящими Условиями эмиссии и Решением об эмиссии, регламентируются Эмитентом в соответствии с законодательством Российской Федерации.</w:t>
      </w:r>
    </w:p>
    <w:p w:rsidR="00A616DF" w:rsidRDefault="00A616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616DF" w:rsidRDefault="00EB0324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2. Порядок размещения и обращения Облигаций</w:t>
      </w:r>
    </w:p>
    <w:p w:rsidR="00A616DF" w:rsidRDefault="00A616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 Дата начала размещения Облигаций устанавливается в Решении об эмиссии.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Дата окончания размещения Облигаций - день продажи последней Облигации первым владельцам.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 Раскрытие информации, содержащейся в Решении об эмиссии, осуществляется путем размещения (опубликования) на официальном сайте Эмитента в информационно-телекоммуникационной сети Интернет не </w:t>
      </w:r>
      <w:proofErr w:type="gramStart"/>
      <w:r>
        <w:rPr>
          <w:rFonts w:ascii="PT Astra Serif" w:hAnsi="PT Astra Serif"/>
          <w:sz w:val="26"/>
          <w:szCs w:val="26"/>
        </w:rPr>
        <w:t>позднее</w:t>
      </w:r>
      <w:proofErr w:type="gramEnd"/>
      <w:r>
        <w:rPr>
          <w:rFonts w:ascii="PT Astra Serif" w:hAnsi="PT Astra Serif"/>
          <w:sz w:val="26"/>
          <w:szCs w:val="26"/>
        </w:rPr>
        <w:t xml:space="preserve"> чем за два рабочих дня до даты начала размещения выпуска Облигаций.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 Размещение, обращение, включая выкуп Облигаций, осуществляются на торгах Организатора торговли в соответствии с установленными им правилами организованных торгов в соответствии с законодательством Российской Федерации, Генеральными условиями, настоящими Условиями эмиссии и Решениями об эмиссии.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рамках эмиссии Облигаций размещение выпусков Облигаций может осуществляться в соответствии с законодательством Российской Федерации, настоящими Условиями эмиссии и Решением об эмиссии путем заключения сделок купли-продажи Облигаций между Генеральным агентом, действующим по поручению и за счет Эмитента, и первыми владельцами Облигаций.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Размещение Облигаций может осуществляться одним из следующих способов: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- путем проведения аукциона по определению цены размещения Облигаций в процентах от номинальной стоимости Облигаций;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- путем проведения конкурса по определению ставки купонного дохода на первый купонный период по Облигациям в процентах годовых;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- путем сбора адресных заявок со стороны покупателей на приобретение Облигаций: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 процентной ставке первого купона и цене размещения, равной номинальной стоимости Облигаций в дату начала размещения и равной или отличной от нее в остальные даты (далее – Сбор адресных заявок по купону);</w:t>
      </w:r>
    </w:p>
    <w:p w:rsidR="00A616DF" w:rsidRDefault="00EB0324">
      <w:pP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 цене размещения Облигаций и с процентными ставками купонного дохода или порядком его расчета по всем купонным периодам (ставки всех купонов), заранее определенными Эмитентом (далее - Сбор адресных заявок по цене).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Способ размещения Облигаций устанавливается в Решении об эмиссии.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P74"/>
      <w:bookmarkEnd w:id="1"/>
      <w:r>
        <w:rPr>
          <w:rFonts w:ascii="PT Astra Serif" w:hAnsi="PT Astra Serif"/>
          <w:sz w:val="26"/>
          <w:szCs w:val="26"/>
        </w:rPr>
        <w:t xml:space="preserve">15. </w:t>
      </w:r>
      <w:r>
        <w:rPr>
          <w:rFonts w:ascii="PT Astra Serif" w:hAnsi="PT Astra Serif" w:cs="PT Astra Serif"/>
          <w:sz w:val="26"/>
          <w:szCs w:val="26"/>
        </w:rPr>
        <w:t>Размещение Облигаций путем проведения аукциона по определению цены размещения.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Предметом аукциона является определение цены размещения Облигаций в процентах от номинальной стоимости Облигаций. Порядок расчета купонного дохода по Облигациям устанавливается Эмитентом в Решении об эмиссии.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Участники аукциона подают заявки на покупку Облигаций. Существенным условием каждой заявки на покупку Облигаций является указание цены размещения Облигаций в процентах от номинальной стоимости Облигаций и количества приобретаемых Облигаций.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Эмитент устанавливает единую цену размещения Облигаций на основании поданных участниками аукциона заявок и с учетом приемлемой стоимости заимствования. Генеральный агент удовлетворяет только те заявки участников аукциона, в которых цена размещения Облигаций равна или выше цены размещения Облигаций, установленной Эмитентом.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Заявки на покупку Облигаций удовлетворяются на условиях приоритета заявок на покупку Облигаций с наибольшей ценой размещения Облигаций, то есть в первую очередь удовлетворяются заявки на покупку Облигаций, в которых указана наибольшая цена </w:t>
      </w:r>
      <w:r>
        <w:rPr>
          <w:rFonts w:ascii="PT Astra Serif" w:hAnsi="PT Astra Serif" w:cs="PT Astra Serif"/>
          <w:sz w:val="26"/>
          <w:szCs w:val="26"/>
        </w:rPr>
        <w:lastRenderedPageBreak/>
        <w:t>размещения Облигаций. Если с одинаковой ценой размещения Облигаций зарегистрировано несколько заявок на покупку Облигаций, то в первую очередь удовлетворяются заявки на покупку Облигаций, поданные ранее по времени. Количество Облигаций, указанных в заявке на покупку Облигаций, не влияет на ее приоритет. В случае если объем последней из удовлетворяемых заявок на покупку Облигаций превышает количество Облигаций, оставшихся неразмещенными, то данная заявка на покупку Облигаций удовлетворяется в размере неразмещенного остатка Облигаций.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16. Размещение Облигаций путем проведения конкурса по определению ставки купонного дохода на первый купонный период.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Предметом конкурса является определение ставки купонного дохода на первый купонный период по Облигациям в процентах годовых.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Размещение Облигаций в дату проведения конкурса осуществляется по цене, равной 100 (ста) процентам от номинальной стоимости Облигаций и равной или отличной от нее в последующие даты.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Участники конкурса подают в адрес Генерального агента заявки на покупку Облигаций. Существенным условием каждой заявки на покупку Облигаций является указание ставки купонного дохода на первый купонный период в процентах годовых, цены Облигаций в процентах от номинальной стоимости Облигаций и количества приобретаемых Облигаций.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Эмитент устанавливает ставку купонного дохода на первый купонный период по Облигациям с учетом приемлемой стоимости заимствования на основании поданных участниками конкурса заявок. Генеральный агент удовлетворяет только те заявки участников конкурса, в которых ставка купонного дохода на первый купонный период по Облигациям равна или ниже ставки купонного дохода на первый купонный период, установленной Эмитентом.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Заявки на покупку Облигаций удовлетворяются на условиях приоритета заявок на покупку Облигаций с минимальной ставкой купонного дохода на первый купонный период, то есть в первую очередь удовлетворяются заявки на покупку Облигаций, в которых указана меньшая ставка купонного дохода на первый купонный период. Если с одинаковой ставкой купонного дохода на первый купонный период зарегистрировано несколько заявок на покупку Облигаций, то в первую очередь удовлетворяются заявки на покупку Облигаций, поданные ранее по времени. Количество Облигаций, указанных в заявке на покупку облигаций, не влияет на ее приоритет. В случае если объем последней из удовлетворяемых заявок на покупку Облигаций превышает количество Облигаций, оставшихся неразмещенными, то данная заявка на покупку Облигаций удовлетворяется в размере неразмещенного остатка Облигаций.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Информация о размере процентной ставки купонного дохода на первый купонный период размещается на официальном сайте Эмитента в информационно-телекоммуникационной сети Интернет в дату начала размещения Облигаций.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17. Размещение Облигаций путем Сбора адресных заявок по купону или Сбора адресных заявок по цене.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Генеральный агент по поручению Эмитента направляет адресованное неопределенному кругу лиц приглашение делать предложение о приобретении Облигаций (далее - Оферта). Генеральный агент раскрывает информацию о сроках и порядке направления Оферт на своем сайте в сети Интернет.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Потенциальные покупатели Облигаций направляют Оферты в адрес Генерального агента в сроки и в порядке, установленные в Решении об эмиссии, с указанием минимальной ставки купонного дохода на первый купонный период, приемлемой для </w:t>
      </w:r>
      <w:r>
        <w:rPr>
          <w:rFonts w:ascii="PT Astra Serif" w:hAnsi="PT Astra Serif" w:cs="PT Astra Serif"/>
          <w:sz w:val="26"/>
          <w:szCs w:val="26"/>
        </w:rPr>
        <w:lastRenderedPageBreak/>
        <w:t>потенциального покупателя, при размещении Облигаций путем Сбора адресных заявок по купону, или максимально приемлемой цены размещения при размещении Облигаций путем Сбора адресных заявок по цене, максимальной суммы, на которую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он готов купить Облигации, и количества приобретаемых Облигаций, при этом потенциальный покупатель соглашается, что любая оферта может быть отклонена, акцептована полностью или в части по усмотрению Эмитента.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После окончания срока для направления Оферт Генеральный агент формирует и передает Эмитенту сводный реестр Оферт. </w:t>
      </w:r>
      <w:proofErr w:type="gramStart"/>
      <w:r>
        <w:rPr>
          <w:rFonts w:ascii="PT Astra Serif" w:hAnsi="PT Astra Serif" w:cs="PT Astra Serif"/>
          <w:sz w:val="26"/>
          <w:szCs w:val="26"/>
        </w:rPr>
        <w:t>На основании анализа сводного реестра Оферт и с учетом приемлемой стоимости заимствования Эмитент принимает решение о величине ставки купонного дохода на первый купонный период при размещении Облигаций путем Сбора адресных заявок по купону или цены размещения при размещении путем Сбора адресных заявок по цене и определяет потенциальных покупателей, которым он намеревается продать Облигации, а также количество Облигаций, которые он намеревается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продать потенциальным покупателям. В случае акцепта Оферты участник размещения соглашается, что количество Облигаций, указанное в Оферте, может быть уменьшено Эмитентом. Генеральный агент направляет акцепт на Оферты потенциальным покупателям, которые определены Эмитентом.</w:t>
      </w:r>
    </w:p>
    <w:p w:rsidR="00A616DF" w:rsidRDefault="00EB0324">
      <w:pPr>
        <w:ind w:firstLine="851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Заключение сделок купли-продажи Облигаций осуществляется с использованием системы торгов Организатора торговли по цене размещения, равной номинальной стоимости Облигаций, и ставке купонного дохода на первый купонный период, определенной Эмитентом в порядке, указанном в настоящих Условиях эмиссии и в Решении об эмиссии при размещении Облигаций путем Сбора адресных заявок по купону или по установленной Эмитентом цене размещения и с процентными ставками купонного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дохода или порядком их определения по всем купонным периодам (ставки всех купонов), заранее </w:t>
      </w:r>
      <w:proofErr w:type="gramStart"/>
      <w:r>
        <w:rPr>
          <w:rFonts w:ascii="PT Astra Serif" w:hAnsi="PT Astra Serif" w:cs="PT Astra Serif"/>
          <w:sz w:val="26"/>
          <w:szCs w:val="26"/>
        </w:rPr>
        <w:t>определенными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Эмитентом, при размещении Облигаций путем Сбора адресных заявок по цене.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дату начала размещения Облигаций участники торгов Организатора торговли в течение периода подачи адресных заявок на покупку Облигаций, установленного Организатором торговли, подают адресные заявки на покупку Облигаций с использованием системы торгов Организатора торговли, как за свой счет, так и за счет и по поручению клиентов. Адресные заявки на приобретение Облигаций направляются участниками торгов в адрес Генерального агента.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Адресная заявка на приобретение Облигаций должна содержать цену покупки в процентах от номинальной стоимости Облигаций, количество Облигаций, а также иную информацию в соответствии с правилами проведения торгов по ценным бумагам Организатора торговли.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Организатор торговли составляет сводный реестр адресных заявок на покупку Облигаций, полученных в течение периода подачи адресных заявок на покупку Облигаций, и передает его Генеральному агенту. Генеральный агент передает вышеуказанный сводный реестр адресных заявок на покупку Облигаций Эмитенту.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 основании анализа сводного реестра адресных заявок на покупку Облигаций Эмитент принимает решение об удовлетворении адресных заявок, руководствуясь наличием акцепта оферты о приобретении Облигаций.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Эмитент передает Генеральному агенту информацию об адресных заявках на покупку Облигаций, которые будут удовлетворены, после чего Эмитент в лице Генерального агента заключает сделки купли-продажи Облигаций с покупателями путем выставления встречных адресных заявок с указанием количества Облигаций, которые </w:t>
      </w:r>
      <w:r>
        <w:rPr>
          <w:rFonts w:ascii="PT Astra Serif" w:hAnsi="PT Astra Serif" w:cs="PT Astra Serif"/>
          <w:sz w:val="26"/>
          <w:szCs w:val="26"/>
        </w:rPr>
        <w:lastRenderedPageBreak/>
        <w:t>будут проданы покупателям, согласно порядку, установленному настоящими Условиями эмиссии, Решением об эмиссии и правилами проведения торгов Организатора торговли.</w:t>
      </w:r>
      <w:proofErr w:type="gramEnd"/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Информация о размере процентной ставки купонного дохода на первый купонный период при размещении Облигаций путем Сбора адресных заявок по купону размещается на официальном сайте Эмитента в информационно-телекоммуникационной сети Интернет не позднее даты начала размещения Облигаций. Информация о цене размещения при размещении Облигаций путем Сбора адресных заявок по цене размещается на официальном сайте Эмитента в информационно-телекоммуникационной сети Интернет не </w:t>
      </w:r>
      <w:proofErr w:type="gramStart"/>
      <w:r>
        <w:rPr>
          <w:rFonts w:ascii="PT Astra Serif" w:hAnsi="PT Astra Serif" w:cs="PT Astra Serif"/>
          <w:sz w:val="26"/>
          <w:szCs w:val="26"/>
        </w:rPr>
        <w:t>позднее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чем за 2 (два) рабочих дня до даты начата размещения Облигаций.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18. </w:t>
      </w:r>
      <w:proofErr w:type="gramStart"/>
      <w:r>
        <w:rPr>
          <w:rFonts w:ascii="PT Astra Serif" w:hAnsi="PT Astra Serif" w:cs="PT Astra Serif"/>
          <w:sz w:val="26"/>
          <w:szCs w:val="26"/>
        </w:rPr>
        <w:t>Размещение Облигаций, ранее не размещенных в предусмотренном пунктами 15-17 настоящих Условий эмиссии порядке, может осуществляться в соответствии с законодательством Российской Федерации, настоящими Условиями эмиссии, Решением об эмиссии путем заключения сделок купли-продажи между Эмитентом (Генеральным агентом) и первыми владельцами Облигаций по цене/ценам, указанной/указанным Эмитентом, на торгах, проводимых у Организатора торговли, в порядке, предусмотренном правилами проведения торгов по ценным бумагам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Организатора торговли.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19. Начиная со дня, следующего за датой начала размещения Облигаций, покупатель при совершении сделки купли-продажи Облигаций уплачивает Эмитенту в лице Генерального агента цену Облигации, а также уплачивает накопленный купонный доход по Облигациям, рассчитанный на дату совершения сделки по формуле, указанной в </w:t>
      </w:r>
      <w:hyperlink r:id="rId16" w:tooltip="https://login.consultant.ru/link/?req=doc&amp;base=RLAW049&amp;n=175638&amp;dst=100096" w:history="1">
        <w:r>
          <w:rPr>
            <w:rFonts w:ascii="PT Astra Serif" w:hAnsi="PT Astra Serif" w:cs="PT Astra Serif"/>
            <w:sz w:val="26"/>
            <w:szCs w:val="26"/>
          </w:rPr>
          <w:t>пункте</w:t>
        </w:r>
      </w:hyperlink>
      <w:r>
        <w:rPr>
          <w:rFonts w:ascii="PT Astra Serif" w:hAnsi="PT Astra Serif" w:cs="PT Astra Serif"/>
          <w:sz w:val="26"/>
          <w:szCs w:val="26"/>
        </w:rPr>
        <w:t> 25 настоящих Условий эмиссии.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20. Обращение Облигаций на вторичном рынке осуществляется путем заключения гражданско-правовых </w:t>
      </w:r>
      <w:proofErr w:type="gramStart"/>
      <w:r>
        <w:rPr>
          <w:rFonts w:ascii="PT Astra Serif" w:hAnsi="PT Astra Serif"/>
          <w:sz w:val="26"/>
          <w:szCs w:val="26"/>
        </w:rPr>
        <w:t>сделок</w:t>
      </w:r>
      <w:proofErr w:type="gramEnd"/>
      <w:r>
        <w:rPr>
          <w:rFonts w:ascii="PT Astra Serif" w:hAnsi="PT Astra Serif"/>
          <w:sz w:val="26"/>
          <w:szCs w:val="26"/>
        </w:rPr>
        <w:t xml:space="preserve"> как у Организатора торговли, так и вне Организатора торговли в соответствии с законодательством Российской Федерации, настоящими Условиями эмиссии и Решением об эмиссии.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21. Все расчеты по Облигациям производятся в валюте Российской Федерации.</w:t>
      </w:r>
    </w:p>
    <w:p w:rsidR="00A616DF" w:rsidRDefault="00A616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616DF" w:rsidRDefault="00EB0324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Получение доходов по облигациям и погашение Облигаций</w:t>
      </w:r>
    </w:p>
    <w:p w:rsidR="00A616DF" w:rsidRDefault="00A616DF">
      <w:pPr>
        <w:pStyle w:val="ConsPlusNormal"/>
        <w:ind w:left="567" w:firstLine="709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22. Доходом по Облигациям является переменный купонный доход, а также разница между ценой реализации (погашения) и ценой покупки Облигаций. Купонный доход как абсолютная величина в рублях определяется исходя из размера ставки купонного дохода.</w:t>
      </w:r>
    </w:p>
    <w:p w:rsidR="00A616DF" w:rsidRDefault="00EB0324">
      <w:pPr>
        <w:pStyle w:val="ConsPlusNormal"/>
        <w:shd w:val="clear" w:color="FFFFFF" w:themeColor="background1" w:fill="FFFFFF" w:themeFill="background1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109"/>
      <w:bookmarkEnd w:id="2"/>
      <w:r>
        <w:rPr>
          <w:rFonts w:ascii="PT Astra Serif" w:hAnsi="PT Astra Serif"/>
          <w:sz w:val="26"/>
          <w:szCs w:val="26"/>
        </w:rPr>
        <w:t>23. Купонный доход по Облигациям определяется на основе значений кривой бескупонной доходности по облигациям федеральных займов, или ключевой ставки Банка России, или ставки RUONIA. Указание на конкретный индикатор финансового рынка, а также порядок расчета купонного дохода будет указан в Решении об эмиссии.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Величина купонного дохода рассчитывается отдельно для каждого периода выплаты купонного дохода и объявляется по купонам, начиная со второго и включая последний купонные периоды - не </w:t>
      </w:r>
      <w:proofErr w:type="gramStart"/>
      <w:r>
        <w:rPr>
          <w:rFonts w:ascii="PT Astra Serif" w:hAnsi="PT Astra Serif" w:cs="PT Astra Serif"/>
          <w:sz w:val="26"/>
          <w:szCs w:val="26"/>
        </w:rPr>
        <w:t>позднее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чем за два рабочих дня до даты выплаты дохода по предшествующему купону.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Величина процентной ставки по первому купонному периоду раскрывается не позднее даты начала размещения Облигаций.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Проценты по первому купону начисляются с календарного дня, следующего за датой размещения (датой начала размещения) Облигаций, по дату окончания первого купонного периода.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Проценты по купонам, начиная со второго и включая </w:t>
      </w:r>
      <w:proofErr w:type="gramStart"/>
      <w:r>
        <w:rPr>
          <w:rFonts w:ascii="PT Astra Serif" w:hAnsi="PT Astra Serif" w:cs="PT Astra Serif"/>
          <w:sz w:val="26"/>
          <w:szCs w:val="26"/>
        </w:rPr>
        <w:t>последний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купонные периоды, начисляются с календарного дня, следующего за датой окончания предшествующего купонного периода, по дату окончания текущего купонного периода (дату погашения).</w:t>
      </w:r>
    </w:p>
    <w:p w:rsidR="00A616DF" w:rsidRDefault="00EB032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24. Величина купонного дохода </w:t>
      </w:r>
      <w:r w:rsidR="00A61237">
        <w:rPr>
          <w:rFonts w:ascii="PT Astra Serif" w:hAnsi="PT Astra Serif"/>
          <w:sz w:val="26"/>
          <w:szCs w:val="26"/>
        </w:rPr>
        <w:t xml:space="preserve">в рублях на одну облигацию </w:t>
      </w:r>
      <w:r>
        <w:rPr>
          <w:rFonts w:ascii="PT Astra Serif" w:hAnsi="PT Astra Serif"/>
          <w:sz w:val="26"/>
          <w:szCs w:val="26"/>
        </w:rPr>
        <w:t>определяется по формуле:</w:t>
      </w:r>
    </w:p>
    <w:p w:rsidR="00A616DF" w:rsidRDefault="00EB0324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  <w:lang w:val="en-US"/>
        </w:rPr>
        <w:t>Cj</w:t>
      </w:r>
      <w:proofErr w:type="spellEnd"/>
      <w:r>
        <w:rPr>
          <w:rFonts w:ascii="PT Astra Serif" w:hAnsi="PT Astra Serif"/>
          <w:sz w:val="26"/>
          <w:szCs w:val="26"/>
        </w:rPr>
        <w:t xml:space="preserve"> = </w:t>
      </w:r>
      <w:proofErr w:type="spellStart"/>
      <w:proofErr w:type="gramStart"/>
      <w:r>
        <w:rPr>
          <w:rFonts w:ascii="PT Astra Serif" w:hAnsi="PT Astra Serif"/>
          <w:sz w:val="26"/>
          <w:szCs w:val="26"/>
          <w:lang w:val="en-US"/>
        </w:rPr>
        <w:t>Nj</w:t>
      </w:r>
      <w:proofErr w:type="spellEnd"/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lang w:val="en-US"/>
        </w:rPr>
        <w:t>x</w:t>
      </w:r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Rj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lang w:val="en-US"/>
        </w:rPr>
        <w:t>x</w:t>
      </w:r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Tj</w:t>
      </w:r>
      <w:proofErr w:type="spellEnd"/>
      <w:r>
        <w:rPr>
          <w:rFonts w:ascii="PT Astra Serif" w:hAnsi="PT Astra Serif"/>
          <w:sz w:val="26"/>
          <w:szCs w:val="26"/>
        </w:rPr>
        <w:t xml:space="preserve"> / (365 </w:t>
      </w:r>
      <w:r>
        <w:rPr>
          <w:rFonts w:ascii="PT Astra Serif" w:hAnsi="PT Astra Serif"/>
          <w:sz w:val="26"/>
          <w:szCs w:val="26"/>
          <w:lang w:val="en-US"/>
        </w:rPr>
        <w:t>x</w:t>
      </w:r>
      <w:r>
        <w:rPr>
          <w:rFonts w:ascii="PT Astra Serif" w:hAnsi="PT Astra Serif"/>
          <w:sz w:val="26"/>
          <w:szCs w:val="26"/>
        </w:rPr>
        <w:t xml:space="preserve"> 100%), где: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C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 xml:space="preserve"> - величина купонного дохода за 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>-</w:t>
      </w:r>
      <w:proofErr w:type="spellStart"/>
      <w:r>
        <w:rPr>
          <w:rFonts w:ascii="PT Astra Serif" w:hAnsi="PT Astra Serif"/>
          <w:sz w:val="26"/>
          <w:szCs w:val="26"/>
        </w:rPr>
        <w:t>й</w:t>
      </w:r>
      <w:proofErr w:type="spellEnd"/>
      <w:r>
        <w:rPr>
          <w:rFonts w:ascii="PT Astra Serif" w:hAnsi="PT Astra Serif"/>
          <w:sz w:val="26"/>
          <w:szCs w:val="26"/>
        </w:rPr>
        <w:t xml:space="preserve"> купонный период, в рублях;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 xml:space="preserve"> – номинальная стоимость (непогашенная часть номинальной стоимости) одной Облигации, в рублях;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R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 xml:space="preserve"> – ставк</w:t>
      </w:r>
      <w:r w:rsidR="00A61237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купонного дохода по 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>-</w:t>
      </w:r>
      <w:proofErr w:type="spellStart"/>
      <w:r>
        <w:rPr>
          <w:rFonts w:ascii="PT Astra Serif" w:hAnsi="PT Astra Serif"/>
          <w:sz w:val="26"/>
          <w:szCs w:val="26"/>
        </w:rPr>
        <w:t>му</w:t>
      </w:r>
      <w:proofErr w:type="spellEnd"/>
      <w:r>
        <w:rPr>
          <w:rFonts w:ascii="PT Astra Serif" w:hAnsi="PT Astra Serif"/>
          <w:sz w:val="26"/>
          <w:szCs w:val="26"/>
        </w:rPr>
        <w:t xml:space="preserve"> купонному периоду, в процентах годовых;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T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 xml:space="preserve"> – длительность 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>-го купонного периода, дней;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 xml:space="preserve"> - </w:t>
      </w:r>
      <w:proofErr w:type="gramStart"/>
      <w:r>
        <w:rPr>
          <w:rFonts w:ascii="PT Astra Serif" w:hAnsi="PT Astra Serif"/>
          <w:sz w:val="26"/>
          <w:szCs w:val="26"/>
        </w:rPr>
        <w:t>порядковый</w:t>
      </w:r>
      <w:proofErr w:type="gramEnd"/>
      <w:r>
        <w:rPr>
          <w:rFonts w:ascii="PT Astra Serif" w:hAnsi="PT Astra Serif"/>
          <w:sz w:val="26"/>
          <w:szCs w:val="26"/>
        </w:rPr>
        <w:t xml:space="preserve"> номер купонного периода.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Сумма выплаты по купонному доходу в расчете на одну Облигацию определяется с точностью до одной копейки (округление производится по правилу математического округления, а именно: в случае если третий знак после запятой больше или равен 5, второй знак после запятой увеличивается на единицу, в случае если третий знак после запятой меньше 5, второй знак после запятой не изменяется).</w:t>
      </w:r>
      <w:proofErr w:type="gramEnd"/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Даты начала и окончания купонных периодов, длительность купонных периодов устанавливаются в Решении об эмиссии.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25. </w:t>
      </w:r>
      <w:proofErr w:type="gramStart"/>
      <w:r>
        <w:rPr>
          <w:rFonts w:ascii="PT Astra Serif" w:hAnsi="PT Astra Serif" w:cs="PT Astra Serif"/>
          <w:sz w:val="26"/>
          <w:szCs w:val="26"/>
        </w:rPr>
        <w:t>При обращении Облигаций на вторичном рынке, а также при размещении Облигаций в период с даты, следующей за датой начала размещения Облигаций, до даты окончания размещения Облигаций при совершении сделок купли-продажи Облигаций покупатель уплачивает продавцу цену Облигаций, а также накопленный купонный доход на одну Облигацию, который рассчитывается на текущую дату по формуле:</w:t>
      </w:r>
      <w:proofErr w:type="gramEnd"/>
    </w:p>
    <w:p w:rsidR="00A616DF" w:rsidRDefault="00EB0324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НКД = N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x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Rj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х</w:t>
      </w:r>
      <w:proofErr w:type="spellEnd"/>
      <w:r>
        <w:rPr>
          <w:rFonts w:ascii="PT Astra Serif" w:hAnsi="PT Astra Serif"/>
          <w:sz w:val="26"/>
          <w:szCs w:val="26"/>
        </w:rPr>
        <w:t xml:space="preserve"> ((Т - T(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>-1)) / 365) / 100%, где: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НКД - накопленный купонный доход на одну Облигацию, в рублях;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 xml:space="preserve"> – номинальная стоимость (непогашенная часть номинальной стоимости) одной Облигации, в рублях;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>
        <w:rPr>
          <w:rFonts w:ascii="PT Astra Serif" w:hAnsi="PT Astra Serif"/>
          <w:sz w:val="26"/>
          <w:szCs w:val="26"/>
          <w:lang w:val="en-US"/>
        </w:rPr>
        <w:t>Rj</w:t>
      </w:r>
      <w:proofErr w:type="spellEnd"/>
      <w:proofErr w:type="gramEnd"/>
      <w:r>
        <w:rPr>
          <w:rFonts w:ascii="PT Astra Serif" w:hAnsi="PT Astra Serif"/>
          <w:sz w:val="26"/>
          <w:szCs w:val="26"/>
        </w:rPr>
        <w:t xml:space="preserve"> – ставк</w:t>
      </w:r>
      <w:r w:rsidR="007B5495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купонного дохода по 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>-</w:t>
      </w:r>
      <w:proofErr w:type="spellStart"/>
      <w:r>
        <w:rPr>
          <w:rFonts w:ascii="PT Astra Serif" w:hAnsi="PT Astra Serif"/>
          <w:sz w:val="26"/>
          <w:szCs w:val="26"/>
        </w:rPr>
        <w:t>му</w:t>
      </w:r>
      <w:proofErr w:type="spellEnd"/>
      <w:r>
        <w:rPr>
          <w:rFonts w:ascii="PT Astra Serif" w:hAnsi="PT Astra Serif"/>
          <w:sz w:val="26"/>
          <w:szCs w:val="26"/>
        </w:rPr>
        <w:t xml:space="preserve"> купонному периоду, в процентах годовых;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T(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>-1) - дата окончания предыдущего купонного периода (для первого купонного периода -</w:t>
      </w:r>
      <w:r w:rsidR="002E778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дата начала размещения Облигаций);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T </w:t>
      </w:r>
      <w:r w:rsidR="00C81CF1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</w:rPr>
        <w:t xml:space="preserve"> дата</w:t>
      </w:r>
      <w:r w:rsidR="00C81CF1">
        <w:rPr>
          <w:rFonts w:ascii="PT Astra Serif" w:hAnsi="PT Astra Serif"/>
          <w:sz w:val="26"/>
          <w:szCs w:val="26"/>
        </w:rPr>
        <w:t>, на которую</w:t>
      </w:r>
      <w:r>
        <w:rPr>
          <w:rFonts w:ascii="PT Astra Serif" w:hAnsi="PT Astra Serif"/>
          <w:sz w:val="26"/>
          <w:szCs w:val="26"/>
        </w:rPr>
        <w:t xml:space="preserve"> рас</w:t>
      </w:r>
      <w:r w:rsidR="00C81CF1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>ч</w:t>
      </w:r>
      <w:r w:rsidR="00C81CF1">
        <w:rPr>
          <w:rFonts w:ascii="PT Astra Serif" w:hAnsi="PT Astra Serif"/>
          <w:sz w:val="26"/>
          <w:szCs w:val="26"/>
        </w:rPr>
        <w:t>итывается</w:t>
      </w:r>
      <w:r>
        <w:rPr>
          <w:rFonts w:ascii="PT Astra Serif" w:hAnsi="PT Astra Serif"/>
          <w:sz w:val="26"/>
          <w:szCs w:val="26"/>
        </w:rPr>
        <w:t xml:space="preserve"> НКД внутри 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>-го купонного периода;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 xml:space="preserve"> - </w:t>
      </w:r>
      <w:proofErr w:type="gramStart"/>
      <w:r>
        <w:rPr>
          <w:rFonts w:ascii="PT Astra Serif" w:hAnsi="PT Astra Serif"/>
          <w:sz w:val="26"/>
          <w:szCs w:val="26"/>
        </w:rPr>
        <w:t>порядковый</w:t>
      </w:r>
      <w:proofErr w:type="gramEnd"/>
      <w:r>
        <w:rPr>
          <w:rFonts w:ascii="PT Astra Serif" w:hAnsi="PT Astra Serif"/>
          <w:sz w:val="26"/>
          <w:szCs w:val="26"/>
        </w:rPr>
        <w:t xml:space="preserve"> номер купонного периода.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Сумма выплаты по накопленному купонному доходу в расчете на одну Облигацию определяется с точностью до одной копейки (округление производится по правилу математического округления, а именно: в случае если третий знак после запятой больше или равен 5, второй знак после запятой увеличивается на единицу, в случае если третий знак после запятой меньше 5, второй знак после запятой не изменяется).</w:t>
      </w:r>
      <w:proofErr w:type="gramEnd"/>
    </w:p>
    <w:p w:rsidR="00A616DF" w:rsidRDefault="00EB0324" w:rsidP="00CE15F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26. Владельцы и иные лица, осуществляющие в соответствии с законодательством Российской Федерации права по Облигациям, получают доходы в денежной форме по Облигациям через депозитарий, осуществляющий учет прав на Облигации, депонентами которого они являются. </w:t>
      </w:r>
      <w:r>
        <w:rPr>
          <w:rFonts w:ascii="PT Astra Serif" w:hAnsi="PT Astra Serif" w:cs="PT Astra Serif"/>
          <w:sz w:val="26"/>
          <w:szCs w:val="26"/>
        </w:rPr>
        <w:t>Депозитарный договор между депозитарием, осуществляющим учет прав на Облигации, и депонентом должен содержать порядок передачи депоненту выплат по Облигациям.</w:t>
      </w:r>
    </w:p>
    <w:p w:rsidR="00A616DF" w:rsidRDefault="00EB032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Эмитент исполняет обязанность по осуществлению выплат по Облигациям путем перечисления денежных средств Уполномоченному депозитарию. Указанная обязанность считается исполненной Эмитентом </w:t>
      </w:r>
      <w:proofErr w:type="gramStart"/>
      <w:r>
        <w:rPr>
          <w:rFonts w:ascii="PT Astra Serif" w:hAnsi="PT Astra Serif"/>
          <w:sz w:val="26"/>
          <w:szCs w:val="26"/>
        </w:rPr>
        <w:t>с даты поступления</w:t>
      </w:r>
      <w:proofErr w:type="gramEnd"/>
      <w:r>
        <w:rPr>
          <w:rFonts w:ascii="PT Astra Serif" w:hAnsi="PT Astra Serif"/>
          <w:sz w:val="26"/>
          <w:szCs w:val="26"/>
        </w:rPr>
        <w:t xml:space="preserve"> денежных средств на счет Уполномоченного депозитария.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Выплаты купонного дохода по Облигациям осуществляются в соответствии с порядком, установленным настоящими Условиями эмиссии, Решением об эмиссии и законодательством Российской Федерации.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Купонный доход по Облигациям, не размещенным на дату выплаты купонного дохода, или по Облигациям, переведенным на счет депо Эмитента в Уполномоченном депозитарии, не начисляется и не выплачивается.</w:t>
      </w:r>
    </w:p>
    <w:p w:rsidR="00A616DF" w:rsidRDefault="00EB0324" w:rsidP="00CE15F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27. Погашение номинальной стоимости Облигаций осуществляется частями (далее - Амортизация долга) в даты и в размерах, </w:t>
      </w:r>
      <w:r>
        <w:rPr>
          <w:rFonts w:ascii="PT Astra Serif" w:hAnsi="PT Astra Serif" w:cs="PT Astra Serif"/>
          <w:sz w:val="26"/>
          <w:szCs w:val="26"/>
        </w:rPr>
        <w:t>установленных в Решении об эмиссии и совпадающие с датами выплаты купонного дохода по Облигациям.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Владельцы Облигаций и иные лица, осуществляющие в соответствии с законодательством Российской Федерации права по Облигациям, получают выплаты </w:t>
      </w:r>
      <w:r w:rsidR="00E33E5C">
        <w:rPr>
          <w:rFonts w:ascii="PT Astra Serif" w:hAnsi="PT Astra Serif"/>
          <w:sz w:val="26"/>
          <w:szCs w:val="26"/>
        </w:rPr>
        <w:t>погашаемой части номинальной стоимости</w:t>
      </w:r>
      <w:r>
        <w:rPr>
          <w:rFonts w:ascii="PT Astra Serif" w:hAnsi="PT Astra Serif"/>
          <w:sz w:val="26"/>
          <w:szCs w:val="26"/>
        </w:rPr>
        <w:t xml:space="preserve"> Облигаций через депозитарий, осуществляющий учет прав на Облигации, депонентами которого они являются. </w:t>
      </w:r>
      <w:r>
        <w:rPr>
          <w:rFonts w:ascii="PT Astra Serif" w:hAnsi="PT Astra Serif" w:cs="PT Astra Serif"/>
          <w:sz w:val="26"/>
          <w:szCs w:val="26"/>
        </w:rPr>
        <w:t>Депозитарный договор между депозитарием, осуществляющим учет прав на Облигации, и депонентом должен содержать порядок передачи депоненту выплат по Облигациям.</w:t>
      </w:r>
    </w:p>
    <w:p w:rsidR="00A616DF" w:rsidRDefault="00EB032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Эмитент исполняет обязанность по осуществлению выплат погаш</w:t>
      </w:r>
      <w:r w:rsidR="00037C12">
        <w:rPr>
          <w:rFonts w:ascii="PT Astra Serif" w:hAnsi="PT Astra Serif"/>
          <w:sz w:val="26"/>
          <w:szCs w:val="26"/>
        </w:rPr>
        <w:t>аемой части номинальной стоимости</w:t>
      </w:r>
      <w:r>
        <w:rPr>
          <w:rFonts w:ascii="PT Astra Serif" w:hAnsi="PT Astra Serif"/>
          <w:sz w:val="26"/>
          <w:szCs w:val="26"/>
        </w:rPr>
        <w:t xml:space="preserve"> Облигаций путем перечисления денежных средств Уполномоченному депозитарию. Указанная обязанность считается исполненной Эмитентом </w:t>
      </w:r>
      <w:proofErr w:type="gramStart"/>
      <w:r>
        <w:rPr>
          <w:rFonts w:ascii="PT Astra Serif" w:hAnsi="PT Astra Serif"/>
          <w:sz w:val="26"/>
          <w:szCs w:val="26"/>
        </w:rPr>
        <w:t>с даты поступления</w:t>
      </w:r>
      <w:proofErr w:type="gramEnd"/>
      <w:r>
        <w:rPr>
          <w:rFonts w:ascii="PT Astra Serif" w:hAnsi="PT Astra Serif"/>
          <w:sz w:val="26"/>
          <w:szCs w:val="26"/>
        </w:rPr>
        <w:t xml:space="preserve"> денежных средств на счет Уполномоченного депозитария.</w:t>
      </w:r>
    </w:p>
    <w:p w:rsidR="00A616DF" w:rsidRDefault="003413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Выплаты п</w:t>
      </w:r>
      <w:r w:rsidR="00EB0324">
        <w:rPr>
          <w:rFonts w:ascii="PT Astra Serif" w:hAnsi="PT Astra Serif"/>
          <w:sz w:val="26"/>
          <w:szCs w:val="26"/>
        </w:rPr>
        <w:t>огаш</w:t>
      </w:r>
      <w:r>
        <w:rPr>
          <w:rFonts w:ascii="PT Astra Serif" w:hAnsi="PT Astra Serif"/>
          <w:sz w:val="26"/>
          <w:szCs w:val="26"/>
        </w:rPr>
        <w:t>аемой части номинальной стоимости</w:t>
      </w:r>
      <w:r w:rsidR="00EB0324">
        <w:rPr>
          <w:rFonts w:ascii="PT Astra Serif" w:hAnsi="PT Astra Serif"/>
          <w:sz w:val="26"/>
          <w:szCs w:val="26"/>
        </w:rPr>
        <w:t xml:space="preserve"> Облигаций осуществля</w:t>
      </w:r>
      <w:r>
        <w:rPr>
          <w:rFonts w:ascii="PT Astra Serif" w:hAnsi="PT Astra Serif"/>
          <w:sz w:val="26"/>
          <w:szCs w:val="26"/>
        </w:rPr>
        <w:t>ю</w:t>
      </w:r>
      <w:r w:rsidR="00EB0324">
        <w:rPr>
          <w:rFonts w:ascii="PT Astra Serif" w:hAnsi="PT Astra Serif"/>
          <w:sz w:val="26"/>
          <w:szCs w:val="26"/>
        </w:rPr>
        <w:t>тся в соответствии с порядком, установленным настоящими Условиями эмиссии, Решением об эмиссии и законодательством Российской Федерации.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28. Датой погашения выпуска Облигаций является дата выплаты последней непогашенной части номинальной стоимости Облигаций.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29. </w:t>
      </w:r>
      <w:proofErr w:type="gramStart"/>
      <w:r>
        <w:rPr>
          <w:rFonts w:ascii="PT Astra Serif" w:hAnsi="PT Astra Serif"/>
          <w:sz w:val="26"/>
          <w:szCs w:val="26"/>
        </w:rPr>
        <w:t>Если дата выплаты купонного дохода по Облигациям и</w:t>
      </w:r>
      <w:r w:rsidR="00550548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или</w:t>
      </w:r>
      <w:r w:rsidR="00550548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дата</w:t>
      </w:r>
      <w:r w:rsidR="00550548">
        <w:rPr>
          <w:rFonts w:ascii="PT Astra Serif" w:hAnsi="PT Astra Serif"/>
          <w:sz w:val="26"/>
          <w:szCs w:val="26"/>
        </w:rPr>
        <w:t xml:space="preserve"> выплаты погашаемой части номинальной стоимости</w:t>
      </w:r>
      <w:r>
        <w:rPr>
          <w:rFonts w:ascii="PT Astra Serif" w:hAnsi="PT Astra Serif"/>
          <w:sz w:val="26"/>
          <w:szCs w:val="26"/>
        </w:rPr>
        <w:t xml:space="preserve"> Облигаций </w:t>
      </w:r>
      <w:r w:rsidR="00550548">
        <w:rPr>
          <w:rFonts w:ascii="PT Astra Serif" w:hAnsi="PT Astra Serif"/>
          <w:sz w:val="26"/>
          <w:szCs w:val="26"/>
        </w:rPr>
        <w:t>выпадают</w:t>
      </w:r>
      <w:r>
        <w:rPr>
          <w:rFonts w:ascii="PT Astra Serif" w:hAnsi="PT Astra Serif"/>
          <w:sz w:val="26"/>
          <w:szCs w:val="26"/>
        </w:rPr>
        <w:t xml:space="preserve"> на выходной</w:t>
      </w:r>
      <w:r w:rsidR="00550548">
        <w:rPr>
          <w:rFonts w:ascii="PT Astra Serif" w:hAnsi="PT Astra Serif"/>
          <w:sz w:val="26"/>
          <w:szCs w:val="26"/>
        </w:rPr>
        <w:t xml:space="preserve"> день, праздничный день</w:t>
      </w:r>
      <w:r>
        <w:rPr>
          <w:rFonts w:ascii="PT Astra Serif" w:hAnsi="PT Astra Serif"/>
          <w:sz w:val="26"/>
          <w:szCs w:val="26"/>
        </w:rPr>
        <w:t xml:space="preserve"> или </w:t>
      </w:r>
      <w:r w:rsidR="00550548">
        <w:rPr>
          <w:rFonts w:ascii="PT Astra Serif" w:hAnsi="PT Astra Serif"/>
          <w:sz w:val="26"/>
          <w:szCs w:val="26"/>
        </w:rPr>
        <w:t>иной</w:t>
      </w:r>
      <w:r>
        <w:rPr>
          <w:rFonts w:ascii="PT Astra Serif" w:hAnsi="PT Astra Serif" w:cs="PT Astra Serif"/>
          <w:sz w:val="26"/>
          <w:szCs w:val="26"/>
        </w:rPr>
        <w:t xml:space="preserve"> день, </w:t>
      </w:r>
      <w:r w:rsidR="00550548">
        <w:rPr>
          <w:rFonts w:ascii="PT Astra Serif" w:hAnsi="PT Astra Serif" w:cs="PT Astra Serif"/>
          <w:sz w:val="26"/>
          <w:szCs w:val="26"/>
        </w:rPr>
        <w:t>не являющийся рабочим в Российской Федерации,</w:t>
      </w:r>
      <w:r>
        <w:rPr>
          <w:rFonts w:ascii="PT Astra Serif" w:hAnsi="PT Astra Serif" w:cs="PT Astra Serif"/>
          <w:sz w:val="26"/>
          <w:szCs w:val="26"/>
        </w:rPr>
        <w:t xml:space="preserve"> то </w:t>
      </w:r>
      <w:r w:rsidR="00550548">
        <w:rPr>
          <w:rFonts w:ascii="PT Astra Serif" w:hAnsi="PT Astra Serif" w:cs="PT Astra Serif"/>
          <w:sz w:val="26"/>
          <w:szCs w:val="26"/>
        </w:rPr>
        <w:t>выплаты осуществляются</w:t>
      </w:r>
      <w:r>
        <w:rPr>
          <w:rFonts w:ascii="PT Astra Serif" w:hAnsi="PT Astra Serif" w:cs="PT Astra Serif"/>
          <w:sz w:val="26"/>
          <w:szCs w:val="26"/>
        </w:rPr>
        <w:t xml:space="preserve"> в первый рабочий день, следующий за </w:t>
      </w:r>
      <w:r w:rsidR="00550548">
        <w:rPr>
          <w:rFonts w:ascii="PT Astra Serif" w:hAnsi="PT Astra Serif" w:cs="PT Astra Serif"/>
          <w:sz w:val="26"/>
          <w:szCs w:val="26"/>
        </w:rPr>
        <w:t>датой выплаты купонного дохода по Облигациям и (или) датой выплаты погашаемой части номинальной стоимос</w:t>
      </w:r>
      <w:r w:rsidR="006C2E02">
        <w:rPr>
          <w:rFonts w:ascii="PT Astra Serif" w:hAnsi="PT Astra Serif" w:cs="PT Astra Serif"/>
          <w:sz w:val="26"/>
          <w:szCs w:val="26"/>
        </w:rPr>
        <w:t>т</w:t>
      </w:r>
      <w:r w:rsidR="00550548">
        <w:rPr>
          <w:rFonts w:ascii="PT Astra Serif" w:hAnsi="PT Astra Serif" w:cs="PT Astra Serif"/>
          <w:sz w:val="26"/>
          <w:szCs w:val="26"/>
        </w:rPr>
        <w:t>и Облигаций</w:t>
      </w:r>
      <w:r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Владел</w:t>
      </w:r>
      <w:r w:rsidR="006C2E02">
        <w:rPr>
          <w:rFonts w:ascii="PT Astra Serif" w:hAnsi="PT Astra Serif"/>
          <w:sz w:val="26"/>
          <w:szCs w:val="26"/>
        </w:rPr>
        <w:t>ь</w:t>
      </w:r>
      <w:r>
        <w:rPr>
          <w:rFonts w:ascii="PT Astra Serif" w:hAnsi="PT Astra Serif"/>
          <w:sz w:val="26"/>
          <w:szCs w:val="26"/>
        </w:rPr>
        <w:t>ц</w:t>
      </w:r>
      <w:r w:rsidR="006C2E02">
        <w:rPr>
          <w:rFonts w:ascii="PT Astra Serif" w:hAnsi="PT Astra Serif"/>
          <w:sz w:val="26"/>
          <w:szCs w:val="26"/>
        </w:rPr>
        <w:t>ы</w:t>
      </w:r>
      <w:r>
        <w:rPr>
          <w:rFonts w:ascii="PT Astra Serif" w:hAnsi="PT Astra Serif"/>
          <w:sz w:val="26"/>
          <w:szCs w:val="26"/>
        </w:rPr>
        <w:t xml:space="preserve"> Облигаций не име</w:t>
      </w:r>
      <w:r w:rsidR="006C2E02">
        <w:rPr>
          <w:rFonts w:ascii="PT Astra Serif" w:hAnsi="PT Astra Serif"/>
          <w:sz w:val="26"/>
          <w:szCs w:val="26"/>
        </w:rPr>
        <w:t>ю</w:t>
      </w:r>
      <w:r>
        <w:rPr>
          <w:rFonts w:ascii="PT Astra Serif" w:hAnsi="PT Astra Serif"/>
          <w:sz w:val="26"/>
          <w:szCs w:val="26"/>
        </w:rPr>
        <w:t>т права требовать начисления процентов или какой-либо иной компенсации за такую задержку в платеже.</w:t>
      </w:r>
    </w:p>
    <w:p w:rsidR="00A616DF" w:rsidRDefault="00EB03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30. Налогообложение доходов от операций с Облигациями осуществляется в соответствии с законодательством Российской Федерации.</w:t>
      </w:r>
    </w:p>
    <w:p w:rsidR="00A616DF" w:rsidRDefault="00A616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616DF" w:rsidRDefault="00EB0324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Выкуп облигаций, выпуск выкупленных</w:t>
      </w:r>
    </w:p>
    <w:p w:rsidR="00A616DF" w:rsidRDefault="00EB0324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облигаций в последующее обращение</w:t>
      </w:r>
    </w:p>
    <w:p w:rsidR="00A616DF" w:rsidRDefault="00A616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616DF" w:rsidRDefault="00EB0324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31. Облигации могут быть выкуплены Эмитентом до срока их погашения с возможностью их последующего обращения с соблюдением требований (в том числе по определению цены выкупа), установленных законодательством Российской Федерации, в соответствии с Условиями эмиссии и Решением об эмиссии.</w:t>
      </w:r>
    </w:p>
    <w:p w:rsidR="00A616DF" w:rsidRDefault="00EB03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32. Выкуп Облигаций может осуществляться путем заключения сделок купли-продажи Облигаций между Эмитентом в лице Генерального агента, действующего по поручению и за счет Эмитента, и владельцами Облигаций у Организатора торговли в соответствии с нормативными документами Организатора торговли.</w:t>
      </w:r>
    </w:p>
    <w:p w:rsidR="00A616DF" w:rsidRDefault="009856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33. Выкуп О</w:t>
      </w:r>
      <w:r w:rsidR="00EB0324">
        <w:rPr>
          <w:rFonts w:ascii="PT Astra Serif" w:hAnsi="PT Astra Serif"/>
          <w:sz w:val="26"/>
          <w:szCs w:val="26"/>
        </w:rPr>
        <w:t xml:space="preserve">блигаций осуществляется Эмитентом по цене, определенной с учетом текущей рыночной цены </w:t>
      </w:r>
      <w:r w:rsidR="00EB0324">
        <w:rPr>
          <w:rFonts w:ascii="PT Astra Serif" w:hAnsi="PT Astra Serif" w:cs="PT Astra Serif"/>
          <w:sz w:val="26"/>
          <w:szCs w:val="26"/>
        </w:rPr>
        <w:t>и объемов предложения и спроса на Облигации,</w:t>
      </w:r>
      <w:r w:rsidR="00EB0324">
        <w:rPr>
          <w:rFonts w:ascii="PT Astra Serif" w:hAnsi="PT Astra Serif"/>
          <w:sz w:val="26"/>
          <w:szCs w:val="26"/>
        </w:rPr>
        <w:t xml:space="preserve"> за счет средств областного бюджета Томской области в соответствии с параметрами, установленными законом Томской области об областном бюджете на соответствующий финансовый год и плановый период.</w:t>
      </w:r>
    </w:p>
    <w:p w:rsidR="00A616DF" w:rsidRDefault="00EB0324">
      <w:pP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Порядок выкупа размещенных Облигаций до даты их погашения с возможностью их последующего обращения устанавливается в Решении об эмиссии.</w:t>
      </w:r>
    </w:p>
    <w:p w:rsidR="00A616DF" w:rsidRDefault="00EB0324">
      <w:pP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34. Выкупленные Эмитентом Облигации могут быть выпущены в последующее обращение в течение всего срока обращения Облигаций.</w:t>
      </w:r>
    </w:p>
    <w:p w:rsidR="00A616DF" w:rsidRDefault="00A616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616DF" w:rsidRDefault="00EB0324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Информация об Эмитенте</w:t>
      </w:r>
    </w:p>
    <w:p w:rsidR="00A616DF" w:rsidRDefault="00A616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616DF" w:rsidRDefault="00EB0324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35. В соответствии с </w:t>
      </w:r>
      <w:hyperlink r:id="rId17" w:tooltip="consultantplus://offline/ref=2EBF21FFDA401284AC5476D743A9072C55839A56CB0626B4476481AFB2130A68P0ACI" w:history="1">
        <w:r>
          <w:rPr>
            <w:rFonts w:ascii="PT Astra Serif" w:hAnsi="PT Astra Serif"/>
            <w:sz w:val="26"/>
            <w:szCs w:val="26"/>
          </w:rPr>
          <w:t>Законом</w:t>
        </w:r>
      </w:hyperlink>
      <w:r>
        <w:rPr>
          <w:rFonts w:ascii="PT Astra Serif" w:hAnsi="PT Astra Serif"/>
          <w:sz w:val="26"/>
          <w:szCs w:val="26"/>
        </w:rPr>
        <w:t xml:space="preserve"> Томской области от 27</w:t>
      </w:r>
      <w:r>
        <w:rPr>
          <w:rFonts w:ascii="PT Astra Serif" w:hAnsi="PT Astra Serif" w:cs="PT Astra Serif"/>
          <w:sz w:val="26"/>
          <w:szCs w:val="26"/>
        </w:rPr>
        <w:t>.12.2024 № 138-ОЗ «Об областном бюджете на 2025 год и на плановый период 2026 и 2027 годов»</w:t>
      </w:r>
      <w:r>
        <w:rPr>
          <w:rFonts w:ascii="PT Astra Serif" w:hAnsi="PT Astra Serif"/>
          <w:sz w:val="26"/>
          <w:szCs w:val="26"/>
        </w:rPr>
        <w:t xml:space="preserve"> установлены следующие параметры областного бюджета на 2025 год:</w:t>
      </w:r>
    </w:p>
    <w:p w:rsidR="00A616DF" w:rsidRDefault="00EB0324">
      <w:pPr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общий объем доходов бюджета –  118 719 666,0 тыс. рублей;</w:t>
      </w:r>
    </w:p>
    <w:p w:rsidR="00A616DF" w:rsidRDefault="00EB0324">
      <w:pPr>
        <w:ind w:left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объем безвозмездных поступлений – 28 793 041,9 тыс. рублей;</w:t>
      </w:r>
    </w:p>
    <w:p w:rsidR="00A616DF" w:rsidRDefault="00EB0324">
      <w:pPr>
        <w:ind w:firstLine="709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>объем межбюджетных трансфертов, получаемых из других бюджетов бюджетной системы Российской Федерации</w:t>
      </w:r>
      <w:r>
        <w:rPr>
          <w:rFonts w:ascii="PT Astra Serif" w:hAnsi="PT Astra Serif"/>
          <w:sz w:val="26"/>
          <w:szCs w:val="26"/>
          <w:highlight w:val="white"/>
        </w:rPr>
        <w:t xml:space="preserve"> –  28 784 956,2 тыс. рублей;  </w:t>
      </w:r>
    </w:p>
    <w:p w:rsidR="00A616DF" w:rsidRDefault="00EB0324">
      <w:pPr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общий объем расходов бюджета – 122 724 485,6 тыс. рублей;</w:t>
      </w:r>
    </w:p>
    <w:p w:rsidR="00A616DF" w:rsidRDefault="00EB032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объем расходов на обслуживание государственного долга Томской области - </w:t>
      </w:r>
      <w:r>
        <w:rPr>
          <w:rFonts w:ascii="PT Astra Serif" w:hAnsi="PT Astra Serif"/>
          <w:sz w:val="26"/>
          <w:szCs w:val="26"/>
        </w:rPr>
        <w:br/>
        <w:t>2 355 607,5  тыс. рублей;</w:t>
      </w:r>
    </w:p>
    <w:p w:rsidR="00A616DF" w:rsidRDefault="00EB0324">
      <w:pPr>
        <w:ind w:left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>дефицит бюджета -  4 004 819</w:t>
      </w:r>
      <w:r>
        <w:rPr>
          <w:rFonts w:ascii="PT Astra Serif" w:hAnsi="PT Astra Serif"/>
          <w:sz w:val="26"/>
          <w:szCs w:val="26"/>
          <w:highlight w:val="white"/>
        </w:rPr>
        <w:t>,6 тыс. рублей;</w:t>
      </w:r>
    </w:p>
    <w:p w:rsidR="00A616DF" w:rsidRDefault="00EB032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верхний предел государственного внутреннего долга Томской области по состоянию на 1 января 2026 года – 50 588 146,4 тыс. рублей, в том числе верхний предел долга по государственным гарантиям Томской области - 0,0 тыс. рублей.</w:t>
      </w:r>
    </w:p>
    <w:p w:rsidR="00A616DF" w:rsidRDefault="00EB0324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36. Суммарный объем государственного долга Томской области на дату утверждения настоящих Условий эмиссии составляет </w:t>
      </w:r>
      <w:r>
        <w:rPr>
          <w:rFonts w:ascii="PT Astra Serif" w:hAnsi="PT Astra Serif"/>
          <w:sz w:val="26"/>
          <w:szCs w:val="26"/>
          <w:highlight w:val="yellow"/>
        </w:rPr>
        <w:t>50 896 910, 0 ты</w:t>
      </w:r>
      <w:r>
        <w:rPr>
          <w:rFonts w:ascii="PT Astra Serif" w:hAnsi="PT Astra Serif"/>
          <w:sz w:val="26"/>
          <w:szCs w:val="26"/>
        </w:rPr>
        <w:t>с. рублей.</w:t>
      </w:r>
    </w:p>
    <w:p w:rsidR="00A616DF" w:rsidRDefault="00EB0324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37. Информация об исполнении областного бюджета Томской области за </w:t>
      </w:r>
      <w:hyperlink w:anchor="Par393" w:tooltip="#Par393" w:history="1">
        <w:r>
          <w:rPr>
            <w:rFonts w:ascii="PT Astra Serif" w:hAnsi="PT Astra Serif"/>
            <w:sz w:val="26"/>
            <w:szCs w:val="26"/>
          </w:rPr>
          <w:t>2022, 2023, 2024 годы</w:t>
        </w:r>
      </w:hyperlink>
      <w:r>
        <w:rPr>
          <w:rFonts w:ascii="PT Astra Serif" w:hAnsi="PT Astra Serif"/>
          <w:sz w:val="26"/>
          <w:szCs w:val="26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32"/>
        <w:gridCol w:w="4500"/>
        <w:gridCol w:w="1622"/>
        <w:gridCol w:w="1619"/>
        <w:gridCol w:w="1556"/>
      </w:tblGrid>
      <w:tr w:rsidR="00A616DF">
        <w:tc>
          <w:tcPr>
            <w:tcW w:w="506" w:type="pct"/>
            <w:vMerge w:val="restart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 </w:t>
            </w:r>
            <w:proofErr w:type="spellStart"/>
            <w:proofErr w:type="gramStart"/>
            <w:r>
              <w:rPr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84" w:type="pct"/>
            <w:vMerge w:val="restart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показателей</w:t>
            </w:r>
          </w:p>
        </w:tc>
        <w:tc>
          <w:tcPr>
            <w:tcW w:w="2310" w:type="pct"/>
            <w:gridSpan w:val="3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Исполнено, тыс. руб.</w:t>
            </w:r>
          </w:p>
        </w:tc>
      </w:tr>
      <w:tr w:rsidR="00A616DF">
        <w:tc>
          <w:tcPr>
            <w:tcW w:w="506" w:type="pct"/>
            <w:vMerge/>
            <w:vAlign w:val="center"/>
          </w:tcPr>
          <w:p w:rsidR="00A616DF" w:rsidRDefault="00A616DF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pct"/>
            <w:vMerge/>
            <w:vAlign w:val="center"/>
          </w:tcPr>
          <w:p w:rsidR="00A616DF" w:rsidRDefault="00A616DF">
            <w:pPr>
              <w:pStyle w:val="ConsPlusNormal"/>
              <w:rPr>
                <w:sz w:val="26"/>
                <w:szCs w:val="26"/>
              </w:rPr>
            </w:pPr>
          </w:p>
        </w:tc>
        <w:tc>
          <w:tcPr>
            <w:tcW w:w="791" w:type="pct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год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год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год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outlineLvl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494" w:type="pct"/>
            <w:gridSpan w:val="4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ДОХОДЫ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Налоговые и неналоговые доходы: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65 367 138,6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75 248 182,4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78 030 998,8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Налоги на прибыль, доходы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38 899 991,2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47 303 619,5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47 059 821,5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1.1.2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11 249 241,3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12 427 964,9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14 095 027,4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1.1.3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Налоги на совокупный доход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3 652 065,8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3 992 055,0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5 184 300,0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1.1.4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Налоги на имущество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8 714 557,5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8 745 197,3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8 782 790,6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1.1.5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12 503,6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20 803,0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27 738,7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1.1.6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Госпошлина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126 249,9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152 636,3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136 595,5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1.1.7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Задолженность и перерасчеты по </w:t>
            </w:r>
            <w:r>
              <w:rPr>
                <w:sz w:val="26"/>
                <w:szCs w:val="26"/>
              </w:rPr>
              <w:lastRenderedPageBreak/>
              <w:t>отмененным налогам, сборам и иным обязательным платежам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-36,0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-0,7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1 929 506,0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1.1.8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876 163,7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487 114,2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497 551,4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1.1.9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Платежи при пользовании природными ресурсами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1 151 202,3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1 252 054,3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959 783,2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1.1.10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158 803,2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148 390,2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197 650,0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1.1.11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Доходы от продажи материальных и нематериальных активов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3 102,7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2 718,5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5 377 329,0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1.1.12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Административные платежи и сборы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384,7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2 318,5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57,9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1.1.13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Штрафы, санкции, возмещение ущерба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522 929,4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713 466,3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1 085 376,1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1.1.14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Прочие неналоговые доходы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-20,7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-154,9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858,6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Безвозмездные поступления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30 194 642,5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29 187 657,6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31 130 921,6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1.2.1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27 849 841,4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26 623 726,2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29 731 592,7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1.2.2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Безвозмездные поступления от государственных (муниципальных) организаций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1 802 708,1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1 567 151,0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730 931,5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1.2.3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Безвозмездные поступления от негосударственных организаций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556,7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11 840,6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17 738,5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1.2.4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Прочие безвозмездные поступления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10 649,5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9 042,3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8 630,3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1.2.5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1 128 206,1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1 135 479,5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784 218,3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1.2.6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-597 319,3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-159 582,0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-142 189,7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A616DF">
            <w:pPr>
              <w:pStyle w:val="ConsPlusNormal"/>
              <w:rPr>
                <w:sz w:val="26"/>
                <w:szCs w:val="26"/>
              </w:rPr>
            </w:pP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ВСЕГО ДОХОДОВ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95 561 781,1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104 435 840,0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109 161 920,4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outlineLvl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494" w:type="pct"/>
            <w:gridSpan w:val="4"/>
            <w:vAlign w:val="center"/>
          </w:tcPr>
          <w:p w:rsidR="00A616DF" w:rsidRDefault="00EB0324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3 172 902,7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3 646 008,2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4 329 894,8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38 847,1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50 626,1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50 003,5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920 051,9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6 525 192,7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1 275 045,7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15 020 677,6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17 966 459,6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19 567 134,5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3 675 880,7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1 059 051,2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3 204 141,4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Охрана окружающей среды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206 237,0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416 354,7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426 701,8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Образование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24 555 898,2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28 339 460,7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32 504,0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Культура, кинематография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1 788 896,8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2 710 029,5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3 328 355,0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Здравоохранение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9 926 185,6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9 194 424,1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8 935 451,8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2.10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24 678 432,1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24 629 902,8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25 501 284,0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2.11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628 939,8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522 595,9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844 680,0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2.12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Средства массовой информации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120 039,4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121 609,1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129 213,7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2.13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Обслуживание государственного и муниципального долга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1 222 682,3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957 673,3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1 161 089,5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2.14</w:t>
            </w: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7 383 948,7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7 768 622,0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9 324 155,2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A616DF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ВСЕГО РАСХОДОВ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93 339 619,9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103 908 009,9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110 581 186,9</w:t>
            </w:r>
          </w:p>
        </w:tc>
      </w:tr>
      <w:tr w:rsidR="00A616DF">
        <w:tc>
          <w:tcPr>
            <w:tcW w:w="506" w:type="pct"/>
            <w:vAlign w:val="center"/>
          </w:tcPr>
          <w:p w:rsidR="00A616DF" w:rsidRDefault="00A616DF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184" w:type="pct"/>
            <w:vAlign w:val="center"/>
          </w:tcPr>
          <w:p w:rsidR="00A616DF" w:rsidRDefault="00EB0324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Превышение расходов над доходами (дефицит «</w:t>
            </w:r>
            <w:proofErr w:type="gramStart"/>
            <w:r>
              <w:rPr>
                <w:sz w:val="26"/>
                <w:szCs w:val="26"/>
              </w:rPr>
              <w:t>-»</w:t>
            </w:r>
            <w:proofErr w:type="gramEnd"/>
            <w:r>
              <w:rPr>
                <w:sz w:val="26"/>
                <w:szCs w:val="26"/>
              </w:rPr>
              <w:t>) Превышение доходов над расходами (</w:t>
            </w:r>
            <w:proofErr w:type="spellStart"/>
            <w:r>
              <w:rPr>
                <w:sz w:val="26"/>
                <w:szCs w:val="26"/>
              </w:rPr>
              <w:t>профицит</w:t>
            </w:r>
            <w:proofErr w:type="spellEnd"/>
            <w:r>
              <w:rPr>
                <w:sz w:val="26"/>
                <w:szCs w:val="26"/>
              </w:rPr>
              <w:t xml:space="preserve"> «+»)</w:t>
            </w:r>
          </w:p>
        </w:tc>
        <w:tc>
          <w:tcPr>
            <w:tcW w:w="791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2 222 161,2</w:t>
            </w:r>
          </w:p>
        </w:tc>
        <w:tc>
          <w:tcPr>
            <w:tcW w:w="760" w:type="pct"/>
            <w:vAlign w:val="center"/>
          </w:tcPr>
          <w:p w:rsidR="00A616DF" w:rsidRDefault="00EB032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527 830,1</w:t>
            </w:r>
          </w:p>
        </w:tc>
        <w:tc>
          <w:tcPr>
            <w:tcW w:w="759" w:type="pct"/>
            <w:vAlign w:val="center"/>
          </w:tcPr>
          <w:p w:rsidR="00A616DF" w:rsidRDefault="00EB0324">
            <w:pPr>
              <w:jc w:val="right"/>
            </w:pPr>
            <w:r>
              <w:t>-1 419 266,5</w:t>
            </w:r>
          </w:p>
        </w:tc>
      </w:tr>
    </w:tbl>
    <w:p w:rsidR="00A616DF" w:rsidRDefault="00A616DF">
      <w:pPr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A616DF" w:rsidSect="00A616DF">
      <w:type w:val="continuous"/>
      <w:pgSz w:w="11906" w:h="16838"/>
      <w:pgMar w:top="1134" w:right="567" w:bottom="1134" w:left="1134" w:header="567" w:footer="709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324" w:rsidRDefault="00EB0324">
      <w:pPr>
        <w:rPr>
          <w:sz w:val="23"/>
          <w:szCs w:val="23"/>
        </w:rPr>
      </w:pPr>
      <w:r>
        <w:rPr>
          <w:sz w:val="23"/>
          <w:szCs w:val="23"/>
        </w:rPr>
        <w:separator/>
      </w:r>
    </w:p>
  </w:endnote>
  <w:endnote w:type="continuationSeparator" w:id="0">
    <w:p w:rsidR="00EB0324" w:rsidRDefault="00EB0324">
      <w:pPr>
        <w:rPr>
          <w:sz w:val="23"/>
          <w:szCs w:val="23"/>
        </w:rPr>
      </w:pPr>
      <w:r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324" w:rsidRDefault="007C1084">
    <w:pPr>
      <w:pStyle w:val="Footer"/>
      <w:jc w:val="right"/>
      <w:rPr>
        <w:color w:val="FFFFFF"/>
        <w:sz w:val="20"/>
        <w:szCs w:val="20"/>
      </w:rPr>
    </w:pPr>
    <w:r>
      <w:rPr>
        <w:color w:val="FFFFFF"/>
        <w:sz w:val="20"/>
        <w:szCs w:val="20"/>
      </w:rPr>
      <w:fldChar w:fldCharType="begin"/>
    </w:r>
    <w:r w:rsidR="00EB0324">
      <w:rPr>
        <w:color w:val="FFFFFF"/>
        <w:sz w:val="20"/>
        <w:szCs w:val="20"/>
      </w:rPr>
      <w:instrText xml:space="preserve"> FILENAME </w:instrText>
    </w:r>
    <w:r>
      <w:rPr>
        <w:color w:val="FFFFFF"/>
        <w:sz w:val="20"/>
        <w:szCs w:val="20"/>
      </w:rPr>
      <w:fldChar w:fldCharType="separate"/>
    </w:r>
    <w:r w:rsidR="00EB0324">
      <w:rPr>
        <w:color w:val="FFFFFF"/>
        <w:sz w:val="20"/>
        <w:szCs w:val="20"/>
      </w:rPr>
      <w:t>Условия эмиссии БИРЖА 2024_1.docx</w:t>
    </w:r>
    <w:r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324" w:rsidRDefault="00EB0324">
      <w:pPr>
        <w:rPr>
          <w:sz w:val="23"/>
          <w:szCs w:val="23"/>
        </w:rPr>
      </w:pPr>
      <w:r>
        <w:rPr>
          <w:sz w:val="23"/>
          <w:szCs w:val="23"/>
        </w:rPr>
        <w:separator/>
      </w:r>
    </w:p>
  </w:footnote>
  <w:footnote w:type="continuationSeparator" w:id="0">
    <w:p w:rsidR="00EB0324" w:rsidRDefault="00EB0324">
      <w:pPr>
        <w:rPr>
          <w:sz w:val="23"/>
          <w:szCs w:val="23"/>
        </w:rPr>
      </w:pPr>
      <w:r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849835"/>
      <w:docPartObj>
        <w:docPartGallery w:val="Page Numbers (Top of Page)"/>
        <w:docPartUnique/>
      </w:docPartObj>
    </w:sdtPr>
    <w:sdtContent>
      <w:p w:rsidR="00EB0324" w:rsidRDefault="007C1084">
        <w:pPr>
          <w:pStyle w:val="Header"/>
          <w:jc w:val="center"/>
        </w:pPr>
        <w:r>
          <w:rPr>
            <w:sz w:val="26"/>
            <w:szCs w:val="26"/>
          </w:rPr>
          <w:fldChar w:fldCharType="begin"/>
        </w:r>
        <w:r w:rsidR="00EB0324">
          <w:rPr>
            <w:sz w:val="26"/>
            <w:szCs w:val="26"/>
          </w:rPr>
          <w:instrText xml:space="preserve"> PAGE   \* MERGEFORMAT </w:instrText>
        </w:r>
        <w:r>
          <w:rPr>
            <w:sz w:val="26"/>
            <w:szCs w:val="26"/>
          </w:rPr>
          <w:fldChar w:fldCharType="separate"/>
        </w:r>
        <w:r w:rsidR="00985628">
          <w:rPr>
            <w:noProof/>
            <w:sz w:val="26"/>
            <w:szCs w:val="26"/>
          </w:rPr>
          <w:t>8</w:t>
        </w:r>
        <w:r>
          <w:rPr>
            <w:sz w:val="26"/>
            <w:szCs w:val="26"/>
          </w:rPr>
          <w:fldChar w:fldCharType="end"/>
        </w:r>
      </w:p>
    </w:sdtContent>
  </w:sdt>
  <w:p w:rsidR="00EB0324" w:rsidRDefault="00EB0324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324" w:rsidRDefault="007C1084">
    <w:pPr>
      <w:pStyle w:val="Header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4pt;mso-wrap-distance-left:0;mso-wrap-distance-top:0;mso-wrap-distance-right:0;mso-wrap-distance-bottom:0">
          <v:imagedata r:id="rId1" o:title=""/>
          <v:path textboxrect="0,0,0,0"/>
        </v:shape>
      </w:pict>
    </w:r>
  </w:p>
  <w:p w:rsidR="00EB0324" w:rsidRDefault="00EB0324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12D6"/>
    <w:multiLevelType w:val="hybridMultilevel"/>
    <w:tmpl w:val="9CFA98D8"/>
    <w:lvl w:ilvl="0" w:tplc="42809776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2E02832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1424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A862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BCF7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A23B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C0F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B6B1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0A7F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40044D"/>
    <w:multiLevelType w:val="hybridMultilevel"/>
    <w:tmpl w:val="58C62DF2"/>
    <w:lvl w:ilvl="0" w:tplc="E39C69BE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CC4B39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614025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BA0D460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6529946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A6A9120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CB074A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A867516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3CC5494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02F1907"/>
    <w:multiLevelType w:val="hybridMultilevel"/>
    <w:tmpl w:val="B0647708"/>
    <w:lvl w:ilvl="0" w:tplc="ED04554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C3C633B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9F83846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5A03E4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67547AEC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7469A32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FCE737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00C70FA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D90E470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6851A7E"/>
    <w:multiLevelType w:val="hybridMultilevel"/>
    <w:tmpl w:val="083643B4"/>
    <w:lvl w:ilvl="0" w:tplc="BC3E491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3B0E010A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16DA0028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40126AEE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BEC401A8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EA66E2C2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EB524640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7070D536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3E6E18C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A030834"/>
    <w:multiLevelType w:val="hybridMultilevel"/>
    <w:tmpl w:val="BCA0F9CA"/>
    <w:lvl w:ilvl="0" w:tplc="3E7ED09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9609FC8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4F6C3508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EDDA6DD0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4EBCFDD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73367C2A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D6AE7EF2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C8EEEF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D603C0A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6B17A9A"/>
    <w:multiLevelType w:val="hybridMultilevel"/>
    <w:tmpl w:val="91E8D408"/>
    <w:lvl w:ilvl="0" w:tplc="DA3846A4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4EBABC5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DA5233F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EF6A363A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C0725262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CDC81F40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6430E22A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EED60D90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9B2ECB6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616DF"/>
    <w:rsid w:val="00037C12"/>
    <w:rsid w:val="002E778E"/>
    <w:rsid w:val="00341344"/>
    <w:rsid w:val="003427CE"/>
    <w:rsid w:val="00550548"/>
    <w:rsid w:val="006400F1"/>
    <w:rsid w:val="006C2E02"/>
    <w:rsid w:val="007B5495"/>
    <w:rsid w:val="007C1084"/>
    <w:rsid w:val="00886AC1"/>
    <w:rsid w:val="00985628"/>
    <w:rsid w:val="00997E74"/>
    <w:rsid w:val="00A61237"/>
    <w:rsid w:val="00A616DF"/>
    <w:rsid w:val="00C81CF1"/>
    <w:rsid w:val="00CE15F9"/>
    <w:rsid w:val="00E33E5C"/>
    <w:rsid w:val="00EB0324"/>
    <w:rsid w:val="00FB5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6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A616DF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A616DF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A616DF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A616DF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A616DF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A616D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A616DF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A616DF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A616D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A616DF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A616D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A616DF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A616D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A616DF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A616D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A616DF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A616DF"/>
  </w:style>
  <w:style w:type="paragraph" w:styleId="a4">
    <w:name w:val="Title"/>
    <w:basedOn w:val="a"/>
    <w:next w:val="a"/>
    <w:link w:val="a5"/>
    <w:uiPriority w:val="10"/>
    <w:qFormat/>
    <w:rsid w:val="00A616DF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616DF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A616DF"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sid w:val="00A616D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A616D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A616DF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A616D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A616DF"/>
    <w:rPr>
      <w:i/>
    </w:rPr>
  </w:style>
  <w:style w:type="character" w:customStyle="1" w:styleId="HeaderChar">
    <w:name w:val="Header Char"/>
    <w:basedOn w:val="a0"/>
    <w:link w:val="Header"/>
    <w:uiPriority w:val="99"/>
    <w:rsid w:val="00A616DF"/>
  </w:style>
  <w:style w:type="character" w:customStyle="1" w:styleId="FooterChar">
    <w:name w:val="Footer Char"/>
    <w:basedOn w:val="a0"/>
    <w:link w:val="Footer"/>
    <w:uiPriority w:val="99"/>
    <w:rsid w:val="00A616DF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A616D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A616DF"/>
  </w:style>
  <w:style w:type="table" w:styleId="aa">
    <w:name w:val="Table Grid"/>
    <w:basedOn w:val="a1"/>
    <w:uiPriority w:val="59"/>
    <w:rsid w:val="00A616D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A616D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616D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616DF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616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616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616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616D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616D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616D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616D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616D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616D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616D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616DF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616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616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616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616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616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616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616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616DF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616DF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616DF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616DF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616DF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616DF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616DF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616DF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616D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A616DF"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sid w:val="00A616DF"/>
    <w:rPr>
      <w:sz w:val="18"/>
    </w:rPr>
  </w:style>
  <w:style w:type="character" w:styleId="ad">
    <w:name w:val="footnote reference"/>
    <w:basedOn w:val="a0"/>
    <w:uiPriority w:val="99"/>
    <w:unhideWhenUsed/>
    <w:rsid w:val="00A616DF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A616DF"/>
    <w:rPr>
      <w:sz w:val="20"/>
    </w:rPr>
  </w:style>
  <w:style w:type="character" w:customStyle="1" w:styleId="af">
    <w:name w:val="Текст концевой сноски Знак"/>
    <w:link w:val="ae"/>
    <w:uiPriority w:val="99"/>
    <w:rsid w:val="00A616DF"/>
    <w:rPr>
      <w:sz w:val="20"/>
    </w:rPr>
  </w:style>
  <w:style w:type="character" w:styleId="af0">
    <w:name w:val="endnote reference"/>
    <w:basedOn w:val="a0"/>
    <w:uiPriority w:val="99"/>
    <w:semiHidden/>
    <w:unhideWhenUsed/>
    <w:rsid w:val="00A616DF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A616DF"/>
    <w:pPr>
      <w:spacing w:after="57"/>
    </w:pPr>
  </w:style>
  <w:style w:type="paragraph" w:styleId="21">
    <w:name w:val="toc 2"/>
    <w:basedOn w:val="a"/>
    <w:next w:val="a"/>
    <w:uiPriority w:val="39"/>
    <w:unhideWhenUsed/>
    <w:rsid w:val="00A616D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A616D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A616D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A616D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A616D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A616D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A616D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A616DF"/>
    <w:pPr>
      <w:spacing w:after="57"/>
      <w:ind w:left="2268"/>
    </w:pPr>
  </w:style>
  <w:style w:type="paragraph" w:styleId="af1">
    <w:name w:val="TOC Heading"/>
    <w:uiPriority w:val="39"/>
    <w:unhideWhenUsed/>
    <w:rsid w:val="00A616DF"/>
  </w:style>
  <w:style w:type="paragraph" w:styleId="af2">
    <w:name w:val="table of figures"/>
    <w:basedOn w:val="a"/>
    <w:next w:val="a"/>
    <w:uiPriority w:val="99"/>
    <w:unhideWhenUsed/>
    <w:rsid w:val="00A616DF"/>
  </w:style>
  <w:style w:type="paragraph" w:customStyle="1" w:styleId="Heading4">
    <w:name w:val="Heading 4"/>
    <w:basedOn w:val="a"/>
    <w:link w:val="Heading4Char"/>
    <w:qFormat/>
    <w:rsid w:val="00A616DF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customStyle="1" w:styleId="Heading5">
    <w:name w:val="Heading 5"/>
    <w:basedOn w:val="a"/>
    <w:link w:val="Heading5Char"/>
    <w:qFormat/>
    <w:rsid w:val="00A616DF"/>
    <w:pPr>
      <w:keepNext/>
      <w:ind w:right="566"/>
      <w:jc w:val="center"/>
      <w:outlineLvl w:val="4"/>
    </w:pPr>
    <w:rPr>
      <w:sz w:val="26"/>
      <w:szCs w:val="26"/>
    </w:rPr>
  </w:style>
  <w:style w:type="paragraph" w:styleId="af3">
    <w:name w:val="Normal (Web)"/>
    <w:basedOn w:val="a"/>
    <w:rsid w:val="00A616DF"/>
    <w:pPr>
      <w:spacing w:before="100" w:beforeAutospacing="1" w:after="100" w:afterAutospacing="1"/>
    </w:pPr>
  </w:style>
  <w:style w:type="paragraph" w:styleId="af4">
    <w:name w:val="Body Text"/>
    <w:basedOn w:val="a"/>
    <w:rsid w:val="00A616DF"/>
    <w:pPr>
      <w:jc w:val="both"/>
    </w:pPr>
    <w:rPr>
      <w:sz w:val="28"/>
      <w:szCs w:val="28"/>
    </w:rPr>
  </w:style>
  <w:style w:type="paragraph" w:styleId="af5">
    <w:name w:val="Body Text Indent"/>
    <w:basedOn w:val="a"/>
    <w:rsid w:val="00A616DF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f6">
    <w:name w:val="a"/>
    <w:basedOn w:val="a"/>
    <w:rsid w:val="00A616DF"/>
    <w:pPr>
      <w:spacing w:before="120"/>
    </w:pPr>
    <w:rPr>
      <w:b/>
      <w:bCs/>
      <w:sz w:val="26"/>
      <w:szCs w:val="26"/>
    </w:rPr>
  </w:style>
  <w:style w:type="paragraph" w:customStyle="1" w:styleId="Header">
    <w:name w:val="Header"/>
    <w:basedOn w:val="a"/>
    <w:link w:val="af7"/>
    <w:uiPriority w:val="99"/>
    <w:rsid w:val="00A616DF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CaptionChar"/>
    <w:rsid w:val="00A616DF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sid w:val="00A616DF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A616DF"/>
    <w:pPr>
      <w:widowControl w:val="0"/>
    </w:pPr>
    <w:rPr>
      <w:b/>
      <w:bCs/>
      <w:sz w:val="24"/>
      <w:szCs w:val="24"/>
    </w:rPr>
  </w:style>
  <w:style w:type="paragraph" w:customStyle="1" w:styleId="ConsPlusCell">
    <w:name w:val="ConsPlusCell"/>
    <w:rsid w:val="00A616DF"/>
    <w:pPr>
      <w:widowControl w:val="0"/>
    </w:pPr>
    <w:rPr>
      <w:sz w:val="24"/>
      <w:szCs w:val="24"/>
    </w:rPr>
  </w:style>
  <w:style w:type="paragraph" w:styleId="af9">
    <w:name w:val="Document Map"/>
    <w:basedOn w:val="a"/>
    <w:semiHidden/>
    <w:rsid w:val="00A616D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A616DF"/>
    <w:rPr>
      <w:sz w:val="24"/>
      <w:szCs w:val="24"/>
    </w:rPr>
  </w:style>
  <w:style w:type="character" w:customStyle="1" w:styleId="af7">
    <w:name w:val="Верхний колонтитул Знак"/>
    <w:basedOn w:val="a0"/>
    <w:link w:val="Header"/>
    <w:uiPriority w:val="99"/>
    <w:rsid w:val="00A616DF"/>
    <w:rPr>
      <w:sz w:val="24"/>
      <w:szCs w:val="24"/>
    </w:rPr>
  </w:style>
  <w:style w:type="character" w:styleId="afa">
    <w:name w:val="Hyperlink"/>
    <w:basedOn w:val="a0"/>
    <w:rsid w:val="00A616DF"/>
    <w:rPr>
      <w:color w:val="0000FF"/>
      <w:u w:val="single"/>
    </w:rPr>
  </w:style>
  <w:style w:type="paragraph" w:styleId="afb">
    <w:name w:val="List Paragraph"/>
    <w:basedOn w:val="a"/>
    <w:uiPriority w:val="34"/>
    <w:qFormat/>
    <w:rsid w:val="00A616DF"/>
    <w:pPr>
      <w:ind w:left="720"/>
      <w:contextualSpacing/>
    </w:pPr>
  </w:style>
  <w:style w:type="character" w:customStyle="1" w:styleId="pagesindoccount">
    <w:name w:val="pagesindoccount"/>
    <w:basedOn w:val="a0"/>
    <w:rsid w:val="00A616DF"/>
  </w:style>
  <w:style w:type="character" w:styleId="afc">
    <w:name w:val="annotation reference"/>
    <w:basedOn w:val="a0"/>
    <w:rsid w:val="00A616DF"/>
    <w:rPr>
      <w:sz w:val="16"/>
      <w:szCs w:val="16"/>
    </w:rPr>
  </w:style>
  <w:style w:type="paragraph" w:styleId="afd">
    <w:name w:val="annotation text"/>
    <w:basedOn w:val="a"/>
    <w:link w:val="afe"/>
    <w:rsid w:val="00A616DF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rsid w:val="00A616DF"/>
  </w:style>
  <w:style w:type="paragraph" w:styleId="aff">
    <w:name w:val="annotation subject"/>
    <w:basedOn w:val="afd"/>
    <w:next w:val="afd"/>
    <w:link w:val="aff0"/>
    <w:rsid w:val="00A616DF"/>
    <w:rPr>
      <w:b/>
      <w:bCs/>
    </w:rPr>
  </w:style>
  <w:style w:type="character" w:customStyle="1" w:styleId="aff0">
    <w:name w:val="Тема примечания Знак"/>
    <w:basedOn w:val="afe"/>
    <w:link w:val="aff"/>
    <w:rsid w:val="00A616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23E86BA2935134C04978F4A5A7A36278CB6038695CAE4F6FAE2C82C3978C9DE5BB2B67819AD8DD788CB1A1gFF" TargetMode="External"/><Relationship Id="rId13" Type="http://schemas.openxmlformats.org/officeDocument/2006/relationships/hyperlink" Target="consultantplus://offline/ref=D523E86BA2935134C04978F4A5A7A36278CB6038695CAE4F6FAE2C82C3978C9DE5BB2B67819AD8DD788CB6A1gF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523E86BA2935134C04978F4A5A7A36278CB6038695CAE4F6FAE2C82C3978C9DE5BB2B67819AD8DD788CB1A1gFF" TargetMode="External"/><Relationship Id="rId17" Type="http://schemas.openxmlformats.org/officeDocument/2006/relationships/hyperlink" Target="consultantplus://offline/ref=2EBF21FFDA401284AC5476D743A9072C55839A56CB0626B4476481AFB2130A68P0AC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49&amp;n=175638&amp;dst=10009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523E86BA2935134C04978F4A5A7A36278CB6038695CAE4F6FAE2C82C3978C9DE5BB2B67819AD8DD788CB6A1gFF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D523E86BA2935134C04978F4A5A7A36278CB6038695CAE4F6FAE2C82C3978C9DE5BB2B67819AD8DD788CB6A1gF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AA8B04-3BDF-4AB1-BE03-38D695FB6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12</Pages>
  <Words>4949</Words>
  <Characters>28212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bov</cp:lastModifiedBy>
  <cp:revision>21</cp:revision>
  <dcterms:created xsi:type="dcterms:W3CDTF">2024-09-27T04:25:00Z</dcterms:created>
  <dcterms:modified xsi:type="dcterms:W3CDTF">2025-03-18T08:32:00Z</dcterms:modified>
</cp:coreProperties>
</file>