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480" w:after="480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 xml:space="preserve">___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.01.202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5</w:t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  <w:t xml:space="preserve">№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____</w:t>
      </w: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</w:r>
    </w:p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 утверждении отчета об итогах эмиссии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государственных ценных бумаг Томской области за 202</w:t>
      </w:r>
      <w:r>
        <w:rPr>
          <w:rFonts w:ascii="PT Astra Serif" w:hAnsi="PT Astra Serif"/>
          <w:sz w:val="28"/>
          <w:szCs w:val="28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 год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соответствии</w:t>
      </w:r>
      <w:r>
        <w:rPr>
          <w:rFonts w:ascii="PT Astra Serif" w:hAnsi="PT Astra Serif"/>
          <w:sz w:val="28"/>
          <w:szCs w:val="28"/>
        </w:rPr>
        <w:t xml:space="preserve"> со статьей </w:t>
      </w:r>
      <w:r>
        <w:rPr>
          <w:rFonts w:ascii="PT Astra Serif" w:hAnsi="PT Astra Serif"/>
          <w:sz w:val="28"/>
        </w:rPr>
        <w:t xml:space="preserve">121</w:t>
      </w:r>
      <w:r>
        <w:rPr>
          <w:rFonts w:ascii="PT Astra Serif" w:hAnsi="PT Astra Serif"/>
          <w:sz w:val="28"/>
          <w:szCs w:val="28"/>
        </w:rPr>
        <w:t xml:space="preserve">.8 Бюджетного кодекса Российской Федерации, пунктом 46-4 статьи 8 Закона Томской области от 11 октября 2007 года </w:t>
      </w:r>
      <w:r>
        <w:rPr>
          <w:rFonts w:ascii="PT Astra Serif" w:hAnsi="PT Astra Serif"/>
          <w:sz w:val="28"/>
          <w:szCs w:val="28"/>
        </w:rPr>
        <w:br/>
        <w:t xml:space="preserve">№ 231-ОЗ «О бюджетном процессе в Томской области»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20"/>
        <w:jc w:val="both"/>
        <w:rPr>
          <w:rFonts w:ascii="PT Astra Serif" w:hAnsi="PT Astra Serif"/>
          <w:bCs/>
          <w:sz w:val="28"/>
        </w:rPr>
      </w:pPr>
      <w:r>
        <w:rPr>
          <w:rFonts w:ascii="PT Astra Serif" w:hAnsi="PT Astra Serif"/>
          <w:sz w:val="28"/>
          <w:szCs w:val="28"/>
        </w:rPr>
        <w:t xml:space="preserve">ПРИКАЗЫВАЮ:</w:t>
      </w:r>
      <w:r>
        <w:rPr>
          <w:rFonts w:ascii="PT Astra Serif" w:hAnsi="PT Astra Serif"/>
          <w:bCs/>
          <w:sz w:val="28"/>
        </w:rPr>
      </w:r>
      <w:r>
        <w:rPr>
          <w:rFonts w:ascii="PT Astra Serif" w:hAnsi="PT Astra Serif"/>
          <w:bCs/>
          <w:sz w:val="28"/>
        </w:rPr>
      </w:r>
    </w:p>
    <w:p>
      <w:pPr>
        <w:ind w:right="27" w:firstLine="720"/>
        <w:jc w:val="both"/>
        <w:rPr>
          <w:rFonts w:ascii="PT Astra Serif" w:hAnsi="PT Astra Serif"/>
          <w:bCs/>
          <w:sz w:val="28"/>
        </w:rPr>
      </w:pPr>
      <w:r>
        <w:rPr>
          <w:rFonts w:ascii="PT Astra Serif" w:hAnsi="PT Astra Serif"/>
          <w:bCs/>
          <w:sz w:val="28"/>
        </w:rPr>
        <w:t xml:space="preserve">1. Утвердить прилагаемый отчет об итогах эмиссии государственных ценных бумаг Томской области за 202</w:t>
      </w:r>
      <w:r>
        <w:rPr>
          <w:rFonts w:ascii="PT Astra Serif" w:hAnsi="PT Astra Serif"/>
          <w:bCs/>
          <w:sz w:val="28"/>
        </w:rPr>
        <w:t xml:space="preserve">4</w:t>
      </w:r>
      <w:r>
        <w:rPr>
          <w:rFonts w:ascii="PT Astra Serif" w:hAnsi="PT Astra Serif"/>
          <w:bCs/>
          <w:sz w:val="28"/>
        </w:rPr>
        <w:t xml:space="preserve"> год.</w:t>
      </w:r>
      <w:r>
        <w:rPr>
          <w:rFonts w:ascii="PT Astra Serif" w:hAnsi="PT Astra Serif"/>
          <w:bCs/>
          <w:sz w:val="28"/>
        </w:rPr>
      </w:r>
      <w:r>
        <w:rPr>
          <w:rFonts w:ascii="PT Astra Serif" w:hAnsi="PT Astra Serif"/>
          <w:bCs/>
          <w:sz w:val="28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bCs/>
          <w:sz w:val="28"/>
          <w:szCs w:val="28"/>
        </w:rPr>
      </w:pPr>
      <w:r>
        <w:rPr>
          <w:rFonts w:ascii="PT Astra Serif" w:hAnsi="PT Astra Serif"/>
          <w:bCs/>
          <w:sz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Контроль за</w:t>
      </w:r>
      <w:r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финансов Томской области </w:t>
      </w:r>
      <w:r>
        <w:rPr>
          <w:rFonts w:ascii="PT Astra Serif" w:hAnsi="PT Astra Serif"/>
          <w:sz w:val="28"/>
          <w:szCs w:val="28"/>
        </w:rPr>
        <w:t xml:space="preserve">Сидонскую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Я.В.</w:t>
      </w:r>
      <w:r>
        <w:rPr>
          <w:rFonts w:ascii="PT Astra Serif" w:hAnsi="PT Astra Serif" w:cs="PT Astra Serif" w:eastAsiaTheme="minorHAnsi"/>
          <w:bCs/>
          <w:sz w:val="28"/>
          <w:szCs w:val="28"/>
        </w:rPr>
      </w:r>
      <w:r>
        <w:rPr>
          <w:rFonts w:ascii="PT Astra Serif" w:hAnsi="PT Astra Serif" w:cs="PT Astra Serif" w:eastAsiaTheme="minorHAnsi"/>
          <w:bCs/>
          <w:sz w:val="28"/>
          <w:szCs w:val="28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  <w:r>
        <w:rPr>
          <w:rFonts w:ascii="PT Astra Serif" w:hAnsi="PT Astra Serif"/>
          <w:sz w:val="28"/>
          <w:szCs w:val="28"/>
          <w:lang w:eastAsia="ru-RU"/>
        </w:rPr>
      </w:r>
      <w:r>
        <w:rPr>
          <w:rFonts w:ascii="PT Astra Serif" w:hAnsi="PT Astra Serif"/>
          <w:sz w:val="28"/>
          <w:szCs w:val="28"/>
          <w:lang w:eastAsia="ru-RU"/>
        </w:rPr>
      </w:r>
    </w:p>
    <w:p>
      <w:pPr>
        <w:tabs>
          <w:tab w:val="left" w:pos="7088" w:leader="none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widowControl w:val="off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Заместитель Губернатора Томской области -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tabs>
          <w:tab w:val="left" w:pos="793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Департамента финансов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tabs>
          <w:tab w:val="left" w:pos="793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                     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А.М.Феденёв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rPr>
          <w:rFonts w:ascii="PT Astra Serif" w:hAnsi="PT Astra Serif"/>
          <w:sz w:val="28"/>
          <w:szCs w:val="28"/>
          <w:u w:val="single"/>
        </w:rPr>
        <w:sectPr>
          <w:headerReference w:type="default" r:id="rId9"/>
          <w:headerReference w:type="even" r:id="rId10"/>
          <w:headerReference w:type="first" r:id="rId11"/>
          <w:footnotePr/>
          <w:endnotePr/>
          <w:type w:val="continuous"/>
          <w:pgSz w:w="11907" w:h="16840" w:orient="portrait"/>
          <w:pgMar w:top="1134" w:right="567" w:bottom="993" w:left="1134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8"/>
          <w:szCs w:val="28"/>
          <w:u w:val="single"/>
        </w:rPr>
        <w:br w:type="page" w:clear="all"/>
      </w:r>
      <w:r>
        <w:rPr>
          <w:rFonts w:ascii="PT Astra Serif" w:hAnsi="PT Astra Serif"/>
          <w:sz w:val="28"/>
          <w:szCs w:val="28"/>
          <w:u w:val="single"/>
        </w:rPr>
      </w:r>
      <w:r>
        <w:rPr>
          <w:rFonts w:ascii="PT Astra Serif" w:hAnsi="PT Astra Serif"/>
          <w:sz w:val="28"/>
          <w:szCs w:val="28"/>
          <w:u w:val="single"/>
        </w:rPr>
      </w:r>
    </w:p>
    <w:p>
      <w:pPr>
        <w:pStyle w:val="755"/>
        <w:tabs>
          <w:tab w:val="left" w:pos="569" w:leader="none"/>
          <w:tab w:val="left" w:pos="1094" w:leader="none"/>
        </w:tabs>
        <w:spacing w:before="0" w:after="0"/>
        <w:ind w:left="11057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УТВЕРЖДЕН</w:t>
      </w:r>
      <w:r>
        <w:rPr>
          <w:rFonts w:ascii="PT Astra Serif" w:hAnsi="PT Astra Serif"/>
          <w:b w:val="0"/>
          <w:sz w:val="28"/>
          <w:szCs w:val="28"/>
        </w:rPr>
      </w:r>
      <w:r>
        <w:rPr>
          <w:rFonts w:ascii="PT Astra Serif" w:hAnsi="PT Astra Serif"/>
          <w:b w:val="0"/>
          <w:sz w:val="28"/>
          <w:szCs w:val="28"/>
        </w:rPr>
      </w:r>
    </w:p>
    <w:p>
      <w:pPr>
        <w:pStyle w:val="755"/>
        <w:tabs>
          <w:tab w:val="left" w:pos="569" w:leader="none"/>
          <w:tab w:val="left" w:pos="1094" w:leader="none"/>
        </w:tabs>
        <w:spacing w:before="0" w:after="0"/>
        <w:ind w:left="11057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приказом Департамента   финансов Томской области</w:t>
      </w:r>
      <w:r>
        <w:rPr>
          <w:rFonts w:ascii="PT Astra Serif" w:hAnsi="PT Astra Serif"/>
          <w:b w:val="0"/>
          <w:sz w:val="28"/>
          <w:szCs w:val="28"/>
        </w:rPr>
      </w:r>
      <w:r>
        <w:rPr>
          <w:rFonts w:ascii="PT Astra Serif" w:hAnsi="PT Astra Serif"/>
          <w:b w:val="0"/>
          <w:sz w:val="28"/>
          <w:szCs w:val="28"/>
        </w:rPr>
      </w:r>
    </w:p>
    <w:p>
      <w:pPr>
        <w:pStyle w:val="751"/>
        <w:spacing w:before="0" w:after="0"/>
        <w:ind w:left="11057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     .01.202</w:t>
      </w:r>
      <w:r>
        <w:rPr>
          <w:rFonts w:ascii="PT Astra Serif" w:hAnsi="PT Astra Serif"/>
          <w:sz w:val="28"/>
          <w:szCs w:val="28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  №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751"/>
        <w:spacing w:before="0" w:after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</w:rPr>
      </w:r>
    </w:p>
    <w:p>
      <w:pPr>
        <w:pStyle w:val="751"/>
        <w:spacing w:before="0" w:after="0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ТЧЕТ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751"/>
        <w:spacing w:before="0" w:after="0"/>
        <w:jc w:val="center"/>
        <w:rPr>
          <w:rFonts w:ascii="PT Astra Serif" w:hAnsi="PT Astra Serif" w:cs="Times New Roman"/>
          <w:b/>
          <w:bCs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об итогах эмиссии государственных ценных бумаг Томской области за 202</w:t>
      </w:r>
      <w:r>
        <w:rPr>
          <w:rFonts w:ascii="PT Astra Serif" w:hAnsi="PT Astra Serif" w:cs="Times New Roman"/>
          <w:sz w:val="28"/>
          <w:szCs w:val="28"/>
        </w:rPr>
        <w:t xml:space="preserve">4</w:t>
      </w:r>
      <w:r>
        <w:rPr>
          <w:rFonts w:ascii="PT Astra Serif" w:hAnsi="PT Astra Serif" w:cs="Times New Roman"/>
          <w:sz w:val="28"/>
          <w:szCs w:val="28"/>
        </w:rPr>
        <w:t xml:space="preserve"> год</w:t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</w:p>
    <w:p>
      <w:pPr>
        <w:pStyle w:val="751"/>
        <w:spacing w:before="0" w:after="0"/>
        <w:jc w:val="center"/>
        <w:rPr>
          <w:rFonts w:ascii="PT Astra Serif" w:hAnsi="PT Astra Serif" w:cs="Times New Roman"/>
          <w:b/>
          <w:bCs/>
          <w:sz w:val="28"/>
          <w:szCs w:val="28"/>
          <w:highlight w:val="none"/>
        </w:rPr>
      </w:pP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</w:p>
    <w:p>
      <w:pPr>
        <w:pStyle w:val="751"/>
        <w:spacing w:before="0" w:after="0"/>
        <w:jc w:val="center"/>
        <w:rPr>
          <w:rFonts w:ascii="PT Astra Serif" w:hAnsi="PT Astra Serif" w:cs="Times New Roman"/>
          <w:b/>
          <w:bCs/>
          <w:sz w:val="28"/>
          <w:szCs w:val="28"/>
          <w:highlight w:val="none"/>
        </w:rPr>
      </w:pP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  <w:r>
        <w:rPr>
          <w:rFonts w:ascii="PT Astra Serif" w:hAnsi="PT Astra Serif" w:cs="Times New Roman"/>
          <w:b/>
          <w:bCs/>
          <w:sz w:val="28"/>
          <w:szCs w:val="28"/>
          <w:highlight w:val="none"/>
        </w:rPr>
      </w:r>
    </w:p>
    <w:p/>
    <w:tbl>
      <w:tblPr>
        <w:tblW w:w="149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259"/>
        <w:gridCol w:w="1559"/>
        <w:gridCol w:w="3118"/>
        <w:gridCol w:w="1417"/>
        <w:gridCol w:w="1559"/>
        <w:gridCol w:w="1951"/>
      </w:tblGrid>
      <w:tr>
        <w:trPr/>
        <w:tblPrEx/>
        <w:tc>
          <w:tcPr>
            <w:tcW w:w="2127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Государственные регистрационные номера выпусков государственных ценных бумаг, размещение которых осуществлялось в отчетном финансовом году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Порядок размещения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ценных бумаг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Даты размещения ценных бумаг указанных выпусков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118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Даты погашения ценных бумаг указанных выпусков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Фактическая цена размещения ценных бумаг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в процентах от номинальной стоимости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Количество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размещенных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ценных бумаг указанных выпусков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шт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ук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51" w:type="dxa"/>
            <w:vMerge w:val="restart"/>
            <w:noWrap w:val="false"/>
            <w:textDirection w:val="lrTb"/>
            <w:vAlign w:val="center"/>
          </w:tcPr>
          <w:p>
            <w:pPr>
              <w:ind w:firstLine="106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Объем денежных поступлений в бюджет заемщика от размещения государственных ценных бумаг каждого из указанных выпусков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 рублей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212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2</w:t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3</w:t>
            </w:r>
          </w:p>
        </w:tc>
        <w:tc>
          <w:tcPr>
            <w:tcW w:w="3118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4</w:t>
            </w:r>
          </w:p>
        </w:tc>
        <w:tc>
          <w:tcPr>
            <w:tcW w:w="1417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5</w:t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6</w:t>
            </w:r>
          </w:p>
        </w:tc>
        <w:tc>
          <w:tcPr>
            <w:tcW w:w="1951" w:type="dxa"/>
            <w:noWrap w:val="false"/>
            <w:textDirection w:val="lrTb"/>
            <w:vAlign w:val="center"/>
          </w:tcPr>
          <w:p>
            <w:pPr>
              <w:jc w:val="center"/>
            </w:pPr>
            <w:r>
              <w:t xml:space="preserve">7</w:t>
            </w:r>
          </w:p>
        </w:tc>
      </w:tr>
      <w:tr>
        <w:trPr>
          <w:trHeight w:val="956"/>
        </w:trPr>
        <w:tblPrEx/>
        <w:tc>
          <w:tcPr>
            <w:tcW w:w="2127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  <w:t xml:space="preserve">RU34072TMS0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vMerge w:val="restart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В соответствии с решением об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эмиссии облигаций биржевого внутреннего займа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Томской области 2024 года с фиксированным купонным доходом и амортизацией долга (государственный регистрационный номер RU34072TMS0), утвержденным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приказом Департамента финансов Томской области № 26 от 06.12.2024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размещение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облигаций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 было осуществлено по открытой подписке в дату начала размещения облигаций посредством заключения сделок купли-продажи облигаций между Уполномоченным Агентом, действующим по поручению и за счет Эмитента, и владельцами облигаций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с использованием системы торгов ПАО «Московская Биржа ММВБ-РТС» в соответствии с Правилами проведения торгов на фондовом рынке, рынке депозитов и кредитов ПАО «Московская Биржа 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МВБ-РТС»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на основании адресных з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аявок по фиксированной цене, равной номинальной стоимости облигаций, и ставке первого купона, заранее определенной Эмитентом.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17.12.2024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118" w:type="dxa"/>
            <w:vMerge w:val="restart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Погашение номинальной стоимости облигаций осуществляется амортизационными частями в следующие даты:</w:t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21.04.2026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 - 25% от номинальной стоимости облигаций;</w:t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18.10.2026 - 25% от номинальной стоимости облигаций;</w:t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  <w:r>
              <w:rPr>
                <w:rFonts w:ascii="PT Astra Serif" w:hAnsi="PT Astra Serif" w:cs="PT Astra Serif"/>
                <w:sz w:val="20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16.04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.2027 - 25% от номинальной стоимости облигаций;</w:t>
            </w:r>
            <w:r>
              <w:rPr>
                <w:rFonts w:ascii="PT Astra Serif" w:hAnsi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12.12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.2027 - 25% от номинальной стоимости облигаций</w:t>
            </w:r>
            <w:r>
              <w:rPr>
                <w:rFonts w:ascii="PT Astra Serif" w:hAnsi="PT Astra Serif" w:cs="PT Astra Serif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szCs w:val="20"/>
                <w:highlight w:val="white"/>
              </w:rPr>
            </w:r>
          </w:p>
        </w:tc>
        <w:tc>
          <w:tcPr>
            <w:tcW w:w="141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100 % от номинальной стоимости.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Номинальная стоимость одной облигации - 1000,0 рублей.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2 244 887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два миллиона двести сорок четыре тысячи восемьсот восемьдесят семь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51" w:type="dxa"/>
            <w:noWrap w:val="false"/>
            <w:textDirection w:val="lrTb"/>
            <w:vAlign w:val="center"/>
          </w:tcPr>
          <w:p>
            <w:pPr>
              <w:ind w:firstLine="106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2 244 887 000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,0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два миллиарда двести сорок четыре миллиона восемьсот восемьдесят семь тысяч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>
          <w:trHeight w:val="3343"/>
        </w:trPr>
        <w:tblPrEx/>
        <w:tc>
          <w:tcPr>
            <w:tcW w:w="2127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  <w:t xml:space="preserve">RU34072TMS0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В соответствии с решением об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эмиссии облигаций биржевого внутреннего займа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Томской области 2024 года с фиксированным купонным доходом и амортизацией долга (государственный регистрационный номер RU34072TMS0), утвержденным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приказом Департамента финансов Томской области № 26 от 06.12.2024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размещение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облигаций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осуществлялось путем удовлетворения адресных заявок на покупку облигаций,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поданных в адрес генерального агента в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соответствии с правилами ПАО Московская Биржа по цене, установленной Эмитентом на день соответствующего размещения облигаций,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с использованием системы торгов ПАО Московская Биржа.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tcW w:w="1559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26.12.2024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shd w:val="clear" w:color="ffffff" w:fill="ffffff"/>
            <w:noWrap w:val="false"/>
            <w:textDirection w:val="lrTb"/>
            <w:vAlign w:val="center"/>
          </w:tcPr>
          <w:p/>
        </w:tc>
        <w:tc>
          <w:tcPr>
            <w:tcW w:w="1417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101 %* от номинальной стоимости.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Номинальная стоимость одной облигации - 1000,0 рублей.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3 355 113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три миллиона триста пятьдесят пять тысяч сто тринадцать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51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ind w:firstLine="106"/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3 355 113 000,0**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ind w:firstLine="106"/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три миллиарда триста пятьдесят пять миллионов сто тринадцать тысяч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rPr>
          <w:trHeight w:val="850"/>
        </w:trPr>
        <w:tblPrEx/>
        <w:tc>
          <w:tcPr>
            <w:tcW w:w="2127" w:type="dxa"/>
            <w:vMerge w:val="continue"/>
            <w:shd w:val="clear" w:color="ffffff" w:fill="ffffff"/>
            <w:noWrap w:val="false"/>
            <w:textDirection w:val="lrTb"/>
            <w:vAlign w:val="center"/>
          </w:tcPr>
          <w:p/>
        </w:tc>
        <w:tc>
          <w:tcPr>
            <w:tcW w:w="3259" w:type="dxa"/>
            <w:vMerge w:val="continue"/>
            <w:shd w:val="clear" w:color="ffffff" w:fill="ffffff"/>
            <w:noWrap w:val="false"/>
            <w:textDirection w:val="lrTb"/>
            <w:vAlign w:val="center"/>
          </w:tcPr>
          <w:p/>
        </w:tc>
        <w:tc>
          <w:tcPr>
            <w:tcW w:w="1559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27.12.2024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shd w:val="clear" w:color="ffffff" w:fill="ffffff"/>
            <w:noWrap w:val="false"/>
            <w:textDirection w:val="lrTb"/>
            <w:vAlign w:val="center"/>
          </w:tcPr>
          <w:p/>
        </w:tc>
        <w:tc>
          <w:tcPr>
            <w:tcW w:w="1417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101 %* от номинальной стоимости.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Номинальная стоимость одной облигации - 1000,0 рублей.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400 000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четыреста тысяч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W w:w="1951" w:type="dxa"/>
            <w:vMerge w:val="restart"/>
            <w:shd w:val="clear" w:color="ffffff" w:fill="ffffff"/>
            <w:noWrap w:val="false"/>
            <w:textDirection w:val="lrTb"/>
            <w:vAlign w:val="center"/>
          </w:tcPr>
          <w:p>
            <w:pPr>
              <w:ind w:firstLine="106"/>
              <w:jc w:val="center"/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400 000 000,0** (четыреста миллионов)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rPr>
          <w:trHeight w:val="5527"/>
        </w:trPr>
        <w:tblPrEx/>
        <w:tc>
          <w:tcPr>
            <w:tcW w:w="2127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  <w:t xml:space="preserve">RU36073TMS0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shd w:val="clear" w:color="auto" w:fill="auto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В соответствии с решением об эмиссии государственных облигаций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Томской области 2024 года с постоянным купонным доходом для физических лиц (государственный регистрационный номер RU36073TMS0), утвержденным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приказом Департамента финансов Томской области № 27 от 13.12.2024, размещение облигаций осуществлено путем заключения сделок купли-продажи между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Эмитентом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 и гражданами Российской Федерации, обратившимися к Небанковской кредитной организации акционерное общество «Национальный расчетный депозитарий» через финансовую платформу ПАО «Московская Биржа ММВБ-РТС»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tcW w:w="1559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24.12.2024-28.12.2024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118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22.03.2026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100% от номинальной стоимости.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Номинальная стоимость одной облигации - 1000,0 рублей.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600 962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шестьсот тысяч девятьсот шестьдесят два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51" w:type="dxa"/>
            <w:shd w:val="clear" w:color="auto" w:fill="auto"/>
            <w:noWrap w:val="false"/>
            <w:textDirection w:val="lrTb"/>
            <w:vAlign w:val="center"/>
          </w:tcPr>
          <w:p>
            <w:pPr>
              <w:ind w:firstLine="106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600 962 000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,0*** 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шестьсот миллионов девятьсот шестьдесят две тысячи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417" w:firstLine="0"/>
        <w:jc w:val="both"/>
        <w:rPr>
          <w:rFonts w:ascii="PT Astra Serif" w:hAnsi="PT Astra Serif" w:cs="PT Astra Serif"/>
          <w:sz w:val="20"/>
          <w:szCs w:val="20"/>
          <w:u w:val="none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  <w:u w:val="none"/>
        </w:rPr>
        <w:t xml:space="preserve">*цена доразмещения в 2024 году;</w:t>
      </w:r>
      <w:r>
        <w:rPr>
          <w:rFonts w:ascii="PT Astra Serif" w:hAnsi="PT Astra Serif" w:eastAsia="PT Astra Serif" w:cs="PT Astra Serif"/>
          <w:sz w:val="20"/>
          <w:szCs w:val="20"/>
          <w:highlight w:val="none"/>
          <w:u w:val="none"/>
        </w:rPr>
      </w:r>
      <w:r>
        <w:rPr>
          <w:rFonts w:ascii="PT Astra Serif" w:hAnsi="PT Astra Serif" w:cs="PT Astra Serif"/>
          <w:sz w:val="20"/>
          <w:szCs w:val="20"/>
          <w:u w:val="none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417" w:firstLine="0"/>
        <w:jc w:val="both"/>
        <w:rPr>
          <w:rFonts w:ascii="PT Astra Serif" w:hAnsi="PT Astra Serif" w:cs="PT Astra Serif"/>
          <w:sz w:val="20"/>
          <w:szCs w:val="20"/>
          <w:highlight w:val="none"/>
          <w:u w:val="none"/>
        </w:rPr>
      </w:pP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**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без учета поступлений в областной бюджет, полученных в качестве накопленного купонного дохода в сумме 24 354 274,33 рублей, 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и поступлений в сумме 37 551 130,00 рублей, превышающей номинальную стоимость, которые в соответствии со статьей 113 Бюджетного кодекса Российской Федерации отнесены на уменьшение расходов на обслуживание государственного долга Томской области в 2024 году;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</w:r>
      <w:r>
        <w:rPr>
          <w:rFonts w:ascii="PT Astra Serif" w:hAnsi="PT Astra Serif" w:cs="PT Astra Serif"/>
          <w:sz w:val="20"/>
          <w:szCs w:val="20"/>
          <w:highlight w:val="none"/>
          <w:u w:val="none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417" w:firstLine="0"/>
        <w:jc w:val="both"/>
        <w:rPr>
          <w:rFonts w:ascii="PT Astra Serif" w:hAnsi="PT Astra Serif" w:eastAsia="PT Astra Serif" w:cs="PT Astra Serif"/>
          <w:sz w:val="20"/>
          <w:szCs w:val="20"/>
          <w:u w:val="none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  <w:u w:val="none"/>
        </w:rPr>
        <w:t xml:space="preserve">***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без учета поступлений в областной бюдже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т, полученных в качестве накопленного купонного дохода, в сумме 682 974,81 рублей, </w:t>
      </w:r>
      <w:r>
        <w:rPr>
          <w:rFonts w:ascii="PT Astra Serif" w:hAnsi="PT Astra Serif" w:eastAsia="PT Astra Serif" w:cs="PT Astra Serif"/>
          <w:sz w:val="20"/>
          <w:szCs w:val="20"/>
          <w:u w:val="none"/>
        </w:rPr>
        <w:t xml:space="preserve">которые в соответствии со статьей 113 Бюджетного кодекса Российской Федерации отнесены на уменьшение расходов на обслуживание государственного долга Томской области в 2024 году.</w:t>
      </w:r>
      <w:r>
        <w:rPr>
          <w:rFonts w:ascii="PT Astra Serif" w:hAnsi="PT Astra Serif" w:cs="PT Astra Serif"/>
          <w:sz w:val="20"/>
          <w:szCs w:val="20"/>
          <w:u w:val="none"/>
        </w:rPr>
      </w:r>
      <w:r>
        <w:rPr>
          <w:rFonts w:ascii="PT Astra Serif" w:hAnsi="PT Astra Serif" w:eastAsia="PT Astra Serif" w:cs="PT Astra Serif"/>
          <w:sz w:val="20"/>
          <w:szCs w:val="20"/>
          <w:u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:u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:u w:val="none"/>
        </w:rPr>
      </w:r>
      <w:r>
        <w:rPr>
          <w:rFonts w:ascii="PT Astra Serif" w:hAnsi="PT Astra Serif" w:cs="PT Astra Serif"/>
          <w:sz w:val="20"/>
          <w:szCs w:val="20"/>
          <w:u w:val="none"/>
        </w:rPr>
      </w:r>
      <w:r>
        <w:rPr>
          <w:rFonts w:ascii="PT Astra Serif" w:hAnsi="PT Astra Serif" w:eastAsia="PT Astra Serif" w:cs="PT Astra Serif"/>
          <w:sz w:val="20"/>
          <w:szCs w:val="20"/>
          <w:u w:val="none"/>
        </w:rPr>
      </w:r>
    </w:p>
    <w:sectPr>
      <w:footnotePr/>
      <w:endnotePr/>
      <w:type w:val="nextPage"/>
      <w:pgSz w:w="16840" w:h="11907" w:orient="landscape"/>
      <w:pgMar w:top="1134" w:right="1134" w:bottom="567" w:left="1134" w:header="720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left"/>
      <w:rPr>
        <w:sz w:val="2"/>
        <w:szCs w:val="2"/>
      </w:rPr>
    </w:pPr>
    <w:r>
      <w:rPr>
        <w:sz w:val="2"/>
        <w:szCs w:val="2"/>
      </w:rPr>
    </w:r>
    <w:r>
      <w:rPr>
        <w:sz w:val="2"/>
        <w:szCs w:val="2"/>
      </w:rPr>
    </w:r>
    <w:r>
      <w:rPr>
        <w:sz w:val="2"/>
        <w:szCs w:val="2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framePr w:wrap="around" w:vAnchor="text" w:hAnchor="margin" w:xAlign="center" w:y="1"/>
      <w:rPr>
        <w:rStyle w:val="927"/>
      </w:rPr>
    </w:pPr>
    <w:r>
      <w:rPr>
        <w:rStyle w:val="927"/>
      </w:rPr>
      <w:fldChar w:fldCharType="begin"/>
    </w:r>
    <w:r>
      <w:rPr>
        <w:rStyle w:val="927"/>
      </w:rPr>
      <w:instrText xml:space="preserve">PAGE  </w:instrText>
    </w:r>
    <w:r>
      <w:rPr>
        <w:rStyle w:val="927"/>
      </w:rPr>
      <w:fldChar w:fldCharType="end"/>
    </w:r>
    <w:r>
      <w:rPr>
        <w:rStyle w:val="927"/>
      </w:rPr>
    </w:r>
    <w:r>
      <w:rPr>
        <w:rStyle w:val="927"/>
      </w:rPr>
    </w:r>
  </w:p>
  <w:p>
    <w:pPr>
      <w:pStyle w:val="78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1905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</w:rPr>
    </w:r>
    <w:r>
      <w:rPr>
        <w:rFonts w:ascii="PT Astra Serif" w:hAnsi="PT Astra Serif" w:eastAsia="PT Astra Serif" w:cs="PT Astra Serif"/>
        <w:b/>
      </w:rPr>
    </w:r>
  </w:p>
  <w:p>
    <w:pPr>
      <w:pStyle w:val="78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2"/>
      <w:spacing w:before="240" w:after="0"/>
      <w:rPr>
        <w:rFonts w:ascii="PT Astra Serif" w:hAnsi="PT Astra Serif" w:eastAsia="PT Astra Serif" w:cs="PT Astra Serif"/>
        <w:spacing w:val="20"/>
        <w:szCs w:val="28"/>
      </w:rPr>
    </w:pPr>
    <w:r>
      <w:rPr>
        <w:rFonts w:ascii="PT Astra Serif" w:hAnsi="PT Astra Serif" w:eastAsia="PT Astra Serif" w:cs="PT Astra Serif"/>
        <w:spacing w:val="20"/>
        <w:szCs w:val="28"/>
      </w:rPr>
      <w:t xml:space="preserve">пРИКАЗ</w:t>
    </w:r>
    <w:r>
      <w:rPr>
        <w:rFonts w:ascii="PT Astra Serif" w:hAnsi="PT Astra Serif" w:eastAsia="PT Astra Serif" w:cs="PT Astra Serif"/>
        <w:spacing w:val="20"/>
        <w:szCs w:val="28"/>
      </w:rPr>
    </w:r>
    <w:r>
      <w:rPr>
        <w:rFonts w:ascii="PT Astra Serif" w:hAnsi="PT Astra Serif" w:eastAsia="PT Astra Serif" w:cs="PT Astra Serif"/>
        <w:spacing w:val="2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ascii="PT Astra Serif" w:hAnsi="PT Astra Serif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17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760"/>
    <w:link w:val="751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760"/>
    <w:link w:val="752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760"/>
    <w:link w:val="753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760"/>
    <w:link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760"/>
    <w:link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34">
    <w:name w:val="Heading 6 Char"/>
    <w:basedOn w:val="760"/>
    <w:link w:val="756"/>
    <w:uiPriority w:val="9"/>
    <w:rPr>
      <w:rFonts w:ascii="Arial" w:hAnsi="Arial" w:eastAsia="Arial" w:cs="Arial"/>
      <w:b/>
      <w:bCs/>
      <w:sz w:val="22"/>
      <w:szCs w:val="22"/>
    </w:rPr>
  </w:style>
  <w:style w:type="character" w:styleId="735">
    <w:name w:val="Heading 7 Char"/>
    <w:basedOn w:val="760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8 Char"/>
    <w:basedOn w:val="760"/>
    <w:link w:val="758"/>
    <w:uiPriority w:val="9"/>
    <w:rPr>
      <w:rFonts w:ascii="Arial" w:hAnsi="Arial" w:eastAsia="Arial" w:cs="Arial"/>
      <w:i/>
      <w:iCs/>
      <w:sz w:val="22"/>
      <w:szCs w:val="22"/>
    </w:rPr>
  </w:style>
  <w:style w:type="character" w:styleId="737">
    <w:name w:val="Heading 9 Char"/>
    <w:basedOn w:val="760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38">
    <w:name w:val="Title Char"/>
    <w:basedOn w:val="760"/>
    <w:link w:val="774"/>
    <w:uiPriority w:val="10"/>
    <w:rPr>
      <w:sz w:val="48"/>
      <w:szCs w:val="48"/>
    </w:rPr>
  </w:style>
  <w:style w:type="character" w:styleId="739">
    <w:name w:val="Subtitle Char"/>
    <w:basedOn w:val="760"/>
    <w:link w:val="776"/>
    <w:uiPriority w:val="11"/>
    <w:rPr>
      <w:sz w:val="24"/>
      <w:szCs w:val="24"/>
    </w:rPr>
  </w:style>
  <w:style w:type="character" w:styleId="740">
    <w:name w:val="Quote Char"/>
    <w:link w:val="778"/>
    <w:uiPriority w:val="29"/>
    <w:rPr>
      <w:i/>
    </w:rPr>
  </w:style>
  <w:style w:type="character" w:styleId="741">
    <w:name w:val="Intense Quote Char"/>
    <w:link w:val="780"/>
    <w:uiPriority w:val="30"/>
    <w:rPr>
      <w:i/>
    </w:rPr>
  </w:style>
  <w:style w:type="character" w:styleId="742">
    <w:name w:val="Header Char"/>
    <w:basedOn w:val="760"/>
    <w:link w:val="782"/>
    <w:uiPriority w:val="99"/>
  </w:style>
  <w:style w:type="character" w:styleId="743">
    <w:name w:val="Footer Char"/>
    <w:basedOn w:val="760"/>
    <w:link w:val="784"/>
    <w:uiPriority w:val="99"/>
  </w:style>
  <w:style w:type="character" w:styleId="744">
    <w:name w:val="Caption Char"/>
    <w:basedOn w:val="928"/>
    <w:link w:val="784"/>
    <w:uiPriority w:val="99"/>
  </w:style>
  <w:style w:type="character" w:styleId="745">
    <w:name w:val="Footnote Text Char"/>
    <w:link w:val="913"/>
    <w:uiPriority w:val="99"/>
    <w:rPr>
      <w:sz w:val="18"/>
    </w:rPr>
  </w:style>
  <w:style w:type="paragraph" w:styleId="746">
    <w:name w:val="endnote text"/>
    <w:basedOn w:val="750"/>
    <w:link w:val="747"/>
    <w:uiPriority w:val="99"/>
    <w:semiHidden/>
    <w:unhideWhenUsed/>
    <w:pPr>
      <w:spacing w:after="0" w:line="240" w:lineRule="auto"/>
    </w:pPr>
    <w:rPr>
      <w:sz w:val="20"/>
    </w:rPr>
  </w:style>
  <w:style w:type="character" w:styleId="747">
    <w:name w:val="Endnote Text Char"/>
    <w:link w:val="746"/>
    <w:uiPriority w:val="99"/>
    <w:rPr>
      <w:sz w:val="20"/>
    </w:rPr>
  </w:style>
  <w:style w:type="character" w:styleId="748">
    <w:name w:val="endnote reference"/>
    <w:basedOn w:val="760"/>
    <w:uiPriority w:val="99"/>
    <w:semiHidden/>
    <w:unhideWhenUsed/>
    <w:rPr>
      <w:vertAlign w:val="superscript"/>
    </w:rPr>
  </w:style>
  <w:style w:type="paragraph" w:styleId="749">
    <w:name w:val="table of figures"/>
    <w:basedOn w:val="750"/>
    <w:next w:val="750"/>
    <w:uiPriority w:val="99"/>
    <w:unhideWhenUsed/>
    <w:pPr>
      <w:spacing w:after="0" w:afterAutospacing="0"/>
    </w:pPr>
  </w:style>
  <w:style w:type="paragraph" w:styleId="75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51">
    <w:name w:val="Heading 1"/>
    <w:link w:val="763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 w:cs="Arial"/>
      <w:sz w:val="40"/>
      <w:szCs w:val="40"/>
      <w:lang w:eastAsia="en-US" w:bidi="en-US"/>
    </w:rPr>
  </w:style>
  <w:style w:type="paragraph" w:styleId="752">
    <w:name w:val="Heading 2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 w:cs="Arial"/>
      <w:sz w:val="34"/>
      <w:szCs w:val="22"/>
      <w:lang w:eastAsia="en-US" w:bidi="en-US"/>
    </w:rPr>
  </w:style>
  <w:style w:type="paragraph" w:styleId="753">
    <w:name w:val="Heading 3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 w:cs="Arial"/>
      <w:sz w:val="30"/>
      <w:szCs w:val="30"/>
      <w:lang w:eastAsia="en-US" w:bidi="en-US"/>
    </w:rPr>
  </w:style>
  <w:style w:type="paragraph" w:styleId="754">
    <w:name w:val="Heading 4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 w:cs="Arial"/>
      <w:b/>
      <w:bCs/>
      <w:sz w:val="26"/>
      <w:szCs w:val="26"/>
      <w:lang w:eastAsia="en-US" w:bidi="en-US"/>
    </w:rPr>
  </w:style>
  <w:style w:type="paragraph" w:styleId="755">
    <w:name w:val="Heading 5"/>
    <w:link w:val="76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 w:cs="Arial"/>
      <w:b/>
      <w:bCs/>
      <w:sz w:val="24"/>
      <w:szCs w:val="24"/>
      <w:lang w:eastAsia="en-US" w:bidi="en-US"/>
    </w:rPr>
  </w:style>
  <w:style w:type="paragraph" w:styleId="756">
    <w:name w:val="Heading 6"/>
    <w:link w:val="76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 w:cs="Arial"/>
      <w:b/>
      <w:bCs/>
      <w:sz w:val="22"/>
      <w:szCs w:val="22"/>
      <w:lang w:eastAsia="en-US" w:bidi="en-US"/>
    </w:rPr>
  </w:style>
  <w:style w:type="paragraph" w:styleId="757">
    <w:name w:val="Heading 7"/>
    <w:link w:val="76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 w:bidi="en-US"/>
    </w:rPr>
  </w:style>
  <w:style w:type="paragraph" w:styleId="758">
    <w:name w:val="Heading 8"/>
    <w:link w:val="7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 w:cs="Arial"/>
      <w:i/>
      <w:iCs/>
      <w:sz w:val="22"/>
      <w:szCs w:val="22"/>
      <w:lang w:eastAsia="en-US" w:bidi="en-US"/>
    </w:rPr>
  </w:style>
  <w:style w:type="paragraph" w:styleId="759">
    <w:name w:val="Heading 9"/>
    <w:link w:val="77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 w:cs="Arial"/>
      <w:i/>
      <w:iCs/>
      <w:sz w:val="21"/>
      <w:szCs w:val="21"/>
      <w:lang w:eastAsia="en-US" w:bidi="en-US"/>
    </w:rPr>
  </w:style>
  <w:style w:type="character" w:styleId="760" w:default="1">
    <w:name w:val="Default Paragraph Font"/>
    <w:uiPriority w:val="1"/>
    <w:semiHidden/>
    <w:unhideWhenUsed/>
  </w:style>
  <w:style w:type="table" w:styleId="76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2" w:default="1">
    <w:name w:val="No List"/>
    <w:uiPriority w:val="99"/>
    <w:semiHidden/>
    <w:unhideWhenUsed/>
  </w:style>
  <w:style w:type="character" w:styleId="763" w:customStyle="1">
    <w:name w:val="Заголовок 1 Знак"/>
    <w:link w:val="751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Заголовок 2 Знак"/>
    <w:link w:val="752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53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56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58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59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Cs w:val="22"/>
      <w:lang w:eastAsia="en-US" w:bidi="en-US"/>
    </w:rPr>
  </w:style>
  <w:style w:type="paragraph" w:styleId="77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74">
    <w:name w:val="Title"/>
    <w:link w:val="775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styleId="775" w:customStyle="1">
    <w:name w:val="Название Знак"/>
    <w:link w:val="774"/>
    <w:uiPriority w:val="10"/>
    <w:rPr>
      <w:sz w:val="48"/>
      <w:szCs w:val="48"/>
    </w:rPr>
  </w:style>
  <w:style w:type="paragraph" w:styleId="776">
    <w:name w:val="Subtitle"/>
    <w:link w:val="777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  <w:lang w:eastAsia="en-US" w:bidi="en-US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link w:val="779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  <w:szCs w:val="22"/>
      <w:lang w:eastAsia="en-US" w:bidi="en-US"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link w:val="78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50"/>
    <w:link w:val="783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83" w:customStyle="1">
    <w:name w:val="Верхний колонтитул Знак"/>
    <w:link w:val="782"/>
    <w:uiPriority w:val="99"/>
  </w:style>
  <w:style w:type="paragraph" w:styleId="784">
    <w:name w:val="Footer"/>
    <w:basedOn w:val="750"/>
    <w:link w:val="785"/>
    <w:pPr>
      <w:tabs>
        <w:tab w:val="center" w:pos="4153" w:leader="none"/>
        <w:tab w:val="right" w:pos="8306" w:leader="none"/>
      </w:tabs>
    </w:pPr>
  </w:style>
  <w:style w:type="character" w:styleId="785" w:customStyle="1">
    <w:name w:val="Нижний колонтитул Знак"/>
    <w:link w:val="784"/>
  </w:style>
  <w:style w:type="table" w:styleId="78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2">
    <w:name w:val="Hyperlink"/>
    <w:uiPriority w:val="99"/>
    <w:unhideWhenUsed/>
    <w:rPr>
      <w:color w:val="0000ff"/>
      <w:u w:val="single"/>
    </w:rPr>
  </w:style>
  <w:style w:type="paragraph" w:styleId="913">
    <w:name w:val="footnote text"/>
    <w:link w:val="914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  <w:szCs w:val="22"/>
      <w:lang w:eastAsia="en-US" w:bidi="en-US"/>
    </w:rPr>
  </w:style>
  <w:style w:type="character" w:styleId="914" w:customStyle="1">
    <w:name w:val="Текст сноски Знак"/>
    <w:link w:val="913"/>
    <w:uiPriority w:val="99"/>
    <w:rPr>
      <w:sz w:val="18"/>
    </w:rPr>
  </w:style>
  <w:style w:type="character" w:styleId="915">
    <w:name w:val="footnote reference"/>
    <w:uiPriority w:val="99"/>
    <w:unhideWhenUsed/>
    <w:rPr>
      <w:vertAlign w:val="superscript"/>
    </w:rPr>
  </w:style>
  <w:style w:type="paragraph" w:styleId="916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Cs w:val="22"/>
      <w:lang w:eastAsia="en-US" w:bidi="en-US"/>
    </w:rPr>
  </w:style>
  <w:style w:type="paragraph" w:styleId="917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Cs w:val="22"/>
      <w:lang w:eastAsia="en-US" w:bidi="en-US"/>
    </w:rPr>
  </w:style>
  <w:style w:type="paragraph" w:styleId="918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Cs w:val="22"/>
      <w:lang w:eastAsia="en-US" w:bidi="en-US"/>
    </w:rPr>
  </w:style>
  <w:style w:type="paragraph" w:styleId="919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Cs w:val="22"/>
      <w:lang w:eastAsia="en-US" w:bidi="en-US"/>
    </w:rPr>
  </w:style>
  <w:style w:type="paragraph" w:styleId="920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Cs w:val="22"/>
      <w:lang w:eastAsia="en-US" w:bidi="en-US"/>
    </w:rPr>
  </w:style>
  <w:style w:type="paragraph" w:styleId="92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Cs w:val="22"/>
      <w:lang w:eastAsia="en-US" w:bidi="en-US"/>
    </w:rPr>
  </w:style>
  <w:style w:type="paragraph" w:styleId="922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Cs w:val="22"/>
      <w:lang w:eastAsia="en-US" w:bidi="en-US"/>
    </w:rPr>
  </w:style>
  <w:style w:type="paragraph" w:styleId="923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Cs w:val="22"/>
      <w:lang w:eastAsia="en-US" w:bidi="en-US"/>
    </w:rPr>
  </w:style>
  <w:style w:type="paragraph" w:styleId="924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Cs w:val="22"/>
      <w:lang w:eastAsia="en-US" w:bidi="en-US"/>
    </w:rPr>
  </w:style>
  <w:style w:type="paragraph" w:styleId="92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6">
    <w:name w:val="Body Text"/>
    <w:basedOn w:val="750"/>
    <w:next w:val="750"/>
    <w:pPr>
      <w:jc w:val="both"/>
    </w:pPr>
    <w:rPr>
      <w:sz w:val="22"/>
    </w:rPr>
  </w:style>
  <w:style w:type="character" w:styleId="927">
    <w:name w:val="page number"/>
    <w:basedOn w:val="760"/>
  </w:style>
  <w:style w:type="paragraph" w:styleId="928">
    <w:name w:val="Caption"/>
    <w:basedOn w:val="750"/>
    <w:next w:val="750"/>
    <w:pPr>
      <w:jc w:val="center"/>
    </w:pPr>
    <w:rPr>
      <w:b/>
      <w:sz w:val="28"/>
    </w:rPr>
  </w:style>
  <w:style w:type="paragraph" w:styleId="929">
    <w:name w:val="Body Text 2"/>
    <w:basedOn w:val="750"/>
    <w:pPr>
      <w:spacing w:before="120"/>
      <w:ind w:right="5102"/>
      <w:jc w:val="center"/>
    </w:pPr>
  </w:style>
  <w:style w:type="paragraph" w:styleId="930" w:customStyle="1">
    <w:name w:val="Обращение"/>
    <w:basedOn w:val="750"/>
    <w:next w:val="750"/>
    <w:pPr>
      <w:spacing w:before="240" w:after="120"/>
      <w:jc w:val="center"/>
    </w:pPr>
    <w:rPr>
      <w:b/>
    </w:rPr>
  </w:style>
  <w:style w:type="paragraph" w:styleId="931" w:customStyle="1">
    <w:name w:val="Адресные реквизиты"/>
    <w:basedOn w:val="926"/>
    <w:next w:val="926"/>
    <w:pPr>
      <w:jc w:val="left"/>
    </w:pPr>
    <w:rPr>
      <w:sz w:val="16"/>
    </w:rPr>
  </w:style>
  <w:style w:type="paragraph" w:styleId="932" w:customStyle="1">
    <w:name w:val="Адресат"/>
    <w:basedOn w:val="750"/>
    <w:pPr>
      <w:spacing w:before="120"/>
    </w:pPr>
    <w:rPr>
      <w:b/>
    </w:rPr>
  </w:style>
  <w:style w:type="paragraph" w:styleId="933">
    <w:name w:val="Body Text 3"/>
    <w:basedOn w:val="750"/>
    <w:pPr>
      <w:tabs>
        <w:tab w:val="left" w:pos="7371" w:leader="none"/>
      </w:tabs>
      <w:spacing w:before="120"/>
    </w:pPr>
    <w:rPr>
      <w:sz w:val="28"/>
    </w:rPr>
  </w:style>
  <w:style w:type="paragraph" w:styleId="934">
    <w:name w:val="Balloon Text"/>
    <w:basedOn w:val="750"/>
    <w:link w:val="935"/>
    <w:uiPriority w:val="99"/>
    <w:semiHidden/>
    <w:unhideWhenUsed/>
    <w:rPr>
      <w:rFonts w:ascii="Tahoma" w:hAnsi="Tahoma" w:cs="Tahoma"/>
      <w:sz w:val="16"/>
      <w:szCs w:val="16"/>
    </w:rPr>
  </w:style>
  <w:style w:type="character" w:styleId="935" w:customStyle="1">
    <w:name w:val="Текст выноски Знак"/>
    <w:link w:val="934"/>
    <w:uiPriority w:val="99"/>
    <w:semiHidden/>
    <w:rPr>
      <w:rFonts w:ascii="Tahoma" w:hAnsi="Tahoma" w:cs="Tahoma"/>
      <w:sz w:val="16"/>
      <w:szCs w:val="16"/>
    </w:rPr>
  </w:style>
  <w:style w:type="paragraph" w:styleId="936" w:customStyle="1">
    <w:name w:val="ConsPlusNormal"/>
    <w:uiPriority w:val="99"/>
    <w:pPr>
      <w:widowControl w:val="off"/>
    </w:pPr>
    <w:rPr>
      <w:rFonts w:ascii="Calibri" w:hAnsi="Calibri" w:cs="Calibri"/>
      <w:sz w:val="22"/>
    </w:rPr>
  </w:style>
  <w:style w:type="paragraph" w:styleId="937" w:customStyle="1">
    <w:name w:val="ConsTitle"/>
    <w:rPr>
      <w:rFonts w:ascii="Arial" w:hAnsi="Arial"/>
      <w:b/>
      <w:sz w:val="16"/>
    </w:rPr>
  </w:style>
  <w:style w:type="character" w:styleId="938" w:customStyle="1">
    <w:name w:val="pagesindoccount"/>
    <w:basedOn w:val="760"/>
  </w:style>
  <w:style w:type="character" w:styleId="939" w:customStyle="1">
    <w:name w:val="Гипертекстовая ссылка"/>
    <w:basedOn w:val="760"/>
    <w:uiPriority w:val="99"/>
    <w:rPr>
      <w:b/>
      <w:bCs/>
      <w:color w:val="106bb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D6D1A-FE5D-401E-8FF0-5440BDC2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</dc:creator>
  <cp:lastModifiedBy>fys</cp:lastModifiedBy>
  <cp:revision>26</cp:revision>
  <dcterms:created xsi:type="dcterms:W3CDTF">2021-12-17T08:46:00Z</dcterms:created>
  <dcterms:modified xsi:type="dcterms:W3CDTF">2025-01-16T07:50:25Z</dcterms:modified>
</cp:coreProperties>
</file>